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43F" w:rsidRDefault="009B2747" w:rsidP="003F5AC1">
      <w:pPr>
        <w:jc w:val="center"/>
        <w:rPr>
          <w:rFonts w:ascii="Century Gothic" w:hAnsi="Century Gothic"/>
          <w:b/>
          <w:bCs/>
          <w:color w:val="262626"/>
          <w:kern w:val="24"/>
          <w:sz w:val="36"/>
          <w:szCs w:val="36"/>
        </w:rPr>
      </w:pPr>
      <w:r w:rsidRPr="009B2747">
        <w:rPr>
          <w:rFonts w:ascii="Century Gothic" w:hAnsi="Century Gothic"/>
          <w:b/>
          <w:bCs/>
          <w:kern w:val="24"/>
          <w:sz w:val="36"/>
          <w:szCs w:val="36"/>
          <w14:shadow w14:blurRad="0" w14:dist="38100" w14:dir="2640000" w14:sx="100000" w14:sy="100000" w14:kx="0" w14:ky="0" w14:algn="bl">
            <w14:srgbClr w14:val="A53010"/>
          </w14:shadow>
          <w14:textOutline w14:w="12700" w14:cap="flat" w14:cmpd="sng" w14:algn="ctr">
            <w14:solidFill>
              <w14:srgbClr w14:val="A53010"/>
            </w14:solidFill>
            <w14:prstDash w14:val="solid"/>
            <w14:round/>
          </w14:textOutline>
        </w:rPr>
        <w:t>GESTAGEN RESISTANT ENDOMETRIAL HYPERPLASIA</w:t>
      </w:r>
      <w:r w:rsidR="00F021DE">
        <w:rPr>
          <w:rFonts w:ascii="Century Gothic" w:hAnsi="Century Gothic"/>
          <w:b/>
          <w:bCs/>
          <w:kern w:val="24"/>
          <w:sz w:val="36"/>
          <w:szCs w:val="36"/>
          <w14:shadow w14:blurRad="0" w14:dist="38100" w14:dir="2640000" w14:sx="100000" w14:sy="100000" w14:kx="0" w14:ky="0" w14:algn="bl">
            <w14:srgbClr w14:val="A53010"/>
          </w14:shadow>
          <w14:textOutline w14:w="12700" w14:cap="flat" w14:cmpd="sng" w14:algn="ctr">
            <w14:solidFill>
              <w14:srgbClr w14:val="A53010"/>
            </w14:solidFill>
            <w14:prstDash w14:val="solid"/>
            <w14:round/>
          </w14:textOutline>
        </w:rPr>
        <w:t xml:space="preserve">; </w:t>
      </w:r>
      <w:r w:rsidRPr="009B2747">
        <w:rPr>
          <w:rFonts w:ascii="Century Gothic" w:hAnsi="Century Gothic"/>
          <w:b/>
          <w:bCs/>
          <w:kern w:val="24"/>
          <w:sz w:val="36"/>
          <w:szCs w:val="36"/>
          <w14:shadow w14:blurRad="0" w14:dist="38100" w14:dir="2640000" w14:sx="100000" w14:sy="100000" w14:kx="0" w14:ky="0" w14:algn="bl">
            <w14:srgbClr w14:val="A53010"/>
          </w14:shadow>
          <w14:textOutline w14:w="12700" w14:cap="flat" w14:cmpd="sng" w14:algn="ctr">
            <w14:solidFill>
              <w14:srgbClr w14:val="A53010"/>
            </w14:solidFill>
            <w14:prstDash w14:val="solid"/>
            <w14:round/>
          </w14:textOutline>
        </w:rPr>
        <w:br/>
      </w:r>
      <w:r w:rsidR="003F5AC1" w:rsidRPr="003F5AC1">
        <w:rPr>
          <w:rFonts w:ascii="Century Gothic" w:hAnsi="Century Gothic"/>
          <w:b/>
          <w:bCs/>
          <w:color w:val="C00000"/>
          <w:kern w:val="24"/>
          <w:sz w:val="36"/>
          <w:szCs w:val="36"/>
        </w:rPr>
        <w:t>Could Letrozole Solve the problem</w:t>
      </w:r>
      <w:r w:rsidRPr="003F5AC1">
        <w:rPr>
          <w:rFonts w:ascii="Century Gothic" w:hAnsi="Century Gothic"/>
          <w:b/>
          <w:bCs/>
          <w:color w:val="C00000"/>
          <w:kern w:val="24"/>
          <w:sz w:val="36"/>
          <w:szCs w:val="36"/>
        </w:rPr>
        <w:t>?</w:t>
      </w:r>
      <w:r w:rsidR="003F5AC1" w:rsidRPr="003F5AC1">
        <w:rPr>
          <w:rFonts w:ascii="Century Gothic" w:hAnsi="Century Gothic"/>
          <w:b/>
          <w:bCs/>
          <w:color w:val="C00000"/>
          <w:kern w:val="24"/>
          <w:sz w:val="36"/>
          <w:szCs w:val="36"/>
        </w:rPr>
        <w:t xml:space="preserve"> And a review of abnormal uterine bleeding</w:t>
      </w:r>
      <w:bookmarkStart w:id="0" w:name="_GoBack"/>
      <w:bookmarkEnd w:id="0"/>
    </w:p>
    <w:p w:rsidR="0015159F" w:rsidRDefault="009B2747" w:rsidP="009B2747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0D5AE6">
        <w:rPr>
          <w:rFonts w:asciiTheme="majorBidi" w:eastAsia="Times New Roman" w:hAnsiTheme="majorBidi" w:cstheme="majorBidi"/>
          <w:sz w:val="24"/>
          <w:szCs w:val="24"/>
          <w:lang w:eastAsia="en-GB"/>
        </w:rPr>
        <w:t>Endometrial hyperplasia is a condition of excessive proliferation</w:t>
      </w:r>
      <w:r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 of the endometrial cells</w:t>
      </w:r>
      <w:r w:rsidRPr="000D5AE6"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 which may present with abnormal uterine bleeding and considered an important risk factor for the development or even co-existence of endometrial cancer. </w:t>
      </w:r>
      <w:proofErr w:type="spellStart"/>
      <w:r w:rsidRPr="000D5AE6">
        <w:rPr>
          <w:rFonts w:asciiTheme="majorBidi" w:eastAsia="Times New Roman" w:hAnsiTheme="majorBidi" w:cstheme="majorBidi"/>
          <w:sz w:val="24"/>
          <w:szCs w:val="24"/>
          <w:lang w:eastAsia="en-GB"/>
        </w:rPr>
        <w:t>Geatagen</w:t>
      </w:r>
      <w:proofErr w:type="spellEnd"/>
      <w:r w:rsidRPr="000D5AE6"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 failure can be defined as progression to atypical hyperplasia that occurs during follow-up, no histological regression of hyperplasia despite 12 months of treatment, relapse of endometrial hyperplasia after completing hormonal treatment, or Persisten</w:t>
      </w:r>
      <w:r>
        <w:rPr>
          <w:rFonts w:asciiTheme="majorBidi" w:eastAsia="Times New Roman" w:hAnsiTheme="majorBidi" w:cstheme="majorBidi"/>
          <w:sz w:val="24"/>
          <w:szCs w:val="24"/>
          <w:lang w:eastAsia="en-GB"/>
        </w:rPr>
        <w:t>t bleeding.</w:t>
      </w:r>
      <w:r w:rsidRPr="009B2747">
        <w:rPr>
          <w:rFonts w:asciiTheme="majorBidi" w:hAnsiTheme="majorBidi" w:cstheme="majorBidi"/>
          <w:sz w:val="24"/>
          <w:szCs w:val="24"/>
        </w:rPr>
        <w:t xml:space="preserve"> </w:t>
      </w:r>
    </w:p>
    <w:p w:rsidR="0015159F" w:rsidRDefault="009B2747" w:rsidP="009B2747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0D5AE6">
        <w:rPr>
          <w:rFonts w:asciiTheme="majorBidi" w:hAnsiTheme="majorBidi" w:cstheme="majorBidi"/>
          <w:sz w:val="24"/>
          <w:szCs w:val="24"/>
        </w:rPr>
        <w:t xml:space="preserve">A total of 46 women diagnosed with simple endometrial hyperplasia without </w:t>
      </w:r>
      <w:proofErr w:type="spellStart"/>
      <w:r w:rsidRPr="000D5AE6">
        <w:rPr>
          <w:rFonts w:asciiTheme="majorBidi" w:hAnsiTheme="majorBidi" w:cstheme="majorBidi"/>
          <w:sz w:val="24"/>
          <w:szCs w:val="24"/>
        </w:rPr>
        <w:t>atypia</w:t>
      </w:r>
      <w:proofErr w:type="spellEnd"/>
      <w:r w:rsidRPr="000D5AE6">
        <w:rPr>
          <w:rFonts w:asciiTheme="majorBidi" w:hAnsiTheme="majorBidi" w:cstheme="majorBidi"/>
          <w:sz w:val="24"/>
          <w:szCs w:val="24"/>
        </w:rPr>
        <w:t xml:space="preserve"> with failed </w:t>
      </w:r>
      <w:proofErr w:type="spellStart"/>
      <w:r w:rsidRPr="000D5AE6">
        <w:rPr>
          <w:rFonts w:asciiTheme="majorBidi" w:hAnsiTheme="majorBidi" w:cstheme="majorBidi"/>
          <w:sz w:val="24"/>
          <w:szCs w:val="24"/>
        </w:rPr>
        <w:t>gestagen</w:t>
      </w:r>
      <w:proofErr w:type="spellEnd"/>
      <w:r w:rsidRPr="000D5AE6">
        <w:rPr>
          <w:rFonts w:asciiTheme="majorBidi" w:hAnsiTheme="majorBidi" w:cstheme="majorBidi"/>
          <w:sz w:val="24"/>
          <w:szCs w:val="24"/>
        </w:rPr>
        <w:t xml:space="preserve"> therapy (for at least one year) were enrolled</w:t>
      </w:r>
      <w:r>
        <w:rPr>
          <w:rFonts w:asciiTheme="majorBidi" w:hAnsiTheme="majorBidi" w:cstheme="majorBidi"/>
          <w:sz w:val="24"/>
          <w:szCs w:val="24"/>
        </w:rPr>
        <w:t>.</w:t>
      </w:r>
      <w:r w:rsidRPr="009B2747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They </w:t>
      </w:r>
      <w:r w:rsidRPr="000D5AE6">
        <w:rPr>
          <w:rFonts w:asciiTheme="majorBidi" w:hAnsiTheme="majorBidi" w:cstheme="majorBidi"/>
          <w:sz w:val="24"/>
          <w:szCs w:val="24"/>
        </w:rPr>
        <w:t xml:space="preserve">were randomly assigned to either: Group </w:t>
      </w:r>
      <w:proofErr w:type="gramStart"/>
      <w:r w:rsidRPr="000D5AE6">
        <w:rPr>
          <w:rFonts w:asciiTheme="majorBidi" w:hAnsiTheme="majorBidi" w:cstheme="majorBidi"/>
          <w:sz w:val="24"/>
          <w:szCs w:val="24"/>
        </w:rPr>
        <w:t>A</w:t>
      </w:r>
      <w:proofErr w:type="gramEnd"/>
      <w:r w:rsidRPr="000D5AE6">
        <w:rPr>
          <w:rFonts w:asciiTheme="majorBidi" w:hAnsiTheme="majorBidi" w:cstheme="majorBidi"/>
          <w:sz w:val="24"/>
          <w:szCs w:val="24"/>
        </w:rPr>
        <w:t xml:space="preserve"> included 20 patients who received </w:t>
      </w:r>
      <w:proofErr w:type="spellStart"/>
      <w:r w:rsidRPr="000D5AE6">
        <w:rPr>
          <w:rFonts w:asciiTheme="majorBidi" w:hAnsiTheme="majorBidi" w:cstheme="majorBidi"/>
          <w:sz w:val="24"/>
          <w:szCs w:val="24"/>
        </w:rPr>
        <w:t>letrozole</w:t>
      </w:r>
      <w:proofErr w:type="spellEnd"/>
      <w:r w:rsidRPr="000D5AE6">
        <w:rPr>
          <w:rFonts w:asciiTheme="majorBidi" w:hAnsiTheme="majorBidi" w:cstheme="majorBidi"/>
          <w:sz w:val="24"/>
          <w:szCs w:val="24"/>
        </w:rPr>
        <w:t xml:space="preserve"> (Letrozole Tablets, </w:t>
      </w:r>
      <w:proofErr w:type="spellStart"/>
      <w:r w:rsidRPr="000D5AE6">
        <w:rPr>
          <w:rFonts w:asciiTheme="majorBidi" w:hAnsiTheme="majorBidi" w:cstheme="majorBidi"/>
          <w:sz w:val="24"/>
          <w:szCs w:val="24"/>
        </w:rPr>
        <w:t>Synthon</w:t>
      </w:r>
      <w:proofErr w:type="spellEnd"/>
      <w:r w:rsidRPr="000D5AE6">
        <w:rPr>
          <w:rFonts w:asciiTheme="majorBidi" w:hAnsiTheme="majorBidi" w:cstheme="majorBidi"/>
          <w:sz w:val="24"/>
          <w:szCs w:val="24"/>
        </w:rPr>
        <w:t xml:space="preserve"> Pharmaceuticals, Inc.) in a dose of 2.5 mg daily for 3 months by non-stop regimen. Group B included 20 patients who received </w:t>
      </w:r>
      <w:proofErr w:type="spellStart"/>
      <w:r w:rsidRPr="000D5AE6">
        <w:rPr>
          <w:rFonts w:asciiTheme="majorBidi" w:hAnsiTheme="majorBidi" w:cstheme="majorBidi"/>
          <w:sz w:val="24"/>
          <w:szCs w:val="24"/>
        </w:rPr>
        <w:t>letrozole</w:t>
      </w:r>
      <w:proofErr w:type="spellEnd"/>
      <w:r w:rsidRPr="000D5AE6">
        <w:rPr>
          <w:rFonts w:asciiTheme="majorBidi" w:hAnsiTheme="majorBidi" w:cstheme="majorBidi"/>
          <w:sz w:val="24"/>
          <w:szCs w:val="24"/>
        </w:rPr>
        <w:t>; in a dose of 5 mg daily (2.5mg twice daily) f</w:t>
      </w:r>
      <w:r>
        <w:rPr>
          <w:rFonts w:asciiTheme="majorBidi" w:hAnsiTheme="majorBidi" w:cstheme="majorBidi"/>
          <w:sz w:val="24"/>
          <w:szCs w:val="24"/>
        </w:rPr>
        <w:t>or 3 months by non-stop regimen.</w:t>
      </w:r>
      <w:r w:rsidRPr="000D5AE6">
        <w:rPr>
          <w:rFonts w:asciiTheme="majorBidi" w:hAnsiTheme="majorBidi" w:cstheme="majorBidi"/>
          <w:sz w:val="24"/>
          <w:szCs w:val="24"/>
        </w:rPr>
        <w:t xml:space="preserve"> </w:t>
      </w:r>
    </w:p>
    <w:p w:rsidR="009B2747" w:rsidRPr="000D5AE6" w:rsidRDefault="009B2747" w:rsidP="009B2747">
      <w:pPr>
        <w:jc w:val="both"/>
        <w:rPr>
          <w:rFonts w:asciiTheme="majorBidi" w:eastAsia="Times New Roman" w:hAnsiTheme="majorBidi" w:cstheme="majorBidi"/>
          <w:sz w:val="24"/>
          <w:szCs w:val="24"/>
          <w:lang w:eastAsia="en-GB"/>
        </w:rPr>
      </w:pPr>
      <w:r w:rsidRPr="000D5AE6">
        <w:rPr>
          <w:rFonts w:asciiTheme="majorBidi" w:eastAsia="Times New Roman" w:hAnsiTheme="majorBidi" w:cstheme="majorBidi"/>
          <w:sz w:val="24"/>
          <w:szCs w:val="24"/>
          <w:lang w:eastAsia="en-GB"/>
        </w:rPr>
        <w:t xml:space="preserve"> </w:t>
      </w:r>
      <w:r>
        <w:rPr>
          <w:rFonts w:asciiTheme="majorBidi" w:hAnsiTheme="majorBidi" w:cstheme="majorBidi"/>
          <w:color w:val="000000"/>
          <w:sz w:val="24"/>
          <w:szCs w:val="24"/>
        </w:rPr>
        <w:t>P</w:t>
      </w:r>
      <w:r w:rsidRPr="000D5AE6">
        <w:rPr>
          <w:rFonts w:asciiTheme="majorBidi" w:hAnsiTheme="majorBidi" w:cstheme="majorBidi"/>
          <w:color w:val="000000"/>
          <w:sz w:val="24"/>
          <w:szCs w:val="24"/>
        </w:rPr>
        <w:t xml:space="preserve">atients with simple endometrial hyperplasia without </w:t>
      </w:r>
      <w:proofErr w:type="spellStart"/>
      <w:r w:rsidRPr="000D5AE6">
        <w:rPr>
          <w:rFonts w:asciiTheme="majorBidi" w:hAnsiTheme="majorBidi" w:cstheme="majorBidi"/>
          <w:color w:val="000000"/>
          <w:sz w:val="24"/>
          <w:szCs w:val="24"/>
        </w:rPr>
        <w:t>atypia</w:t>
      </w:r>
      <w:proofErr w:type="spellEnd"/>
      <w:r w:rsidRPr="000D5AE6">
        <w:rPr>
          <w:rFonts w:asciiTheme="majorBidi" w:hAnsiTheme="majorBidi" w:cstheme="majorBidi"/>
          <w:color w:val="000000"/>
          <w:sz w:val="24"/>
          <w:szCs w:val="24"/>
        </w:rPr>
        <w:t xml:space="preserve"> with failed </w:t>
      </w:r>
      <w:proofErr w:type="spellStart"/>
      <w:r w:rsidRPr="000D5AE6">
        <w:rPr>
          <w:rFonts w:asciiTheme="majorBidi" w:hAnsiTheme="majorBidi" w:cstheme="majorBidi"/>
          <w:color w:val="000000"/>
          <w:sz w:val="24"/>
          <w:szCs w:val="24"/>
        </w:rPr>
        <w:t>Gestagen</w:t>
      </w:r>
      <w:proofErr w:type="spellEnd"/>
      <w:r w:rsidRPr="000D5AE6">
        <w:rPr>
          <w:rFonts w:asciiTheme="majorBidi" w:hAnsiTheme="majorBidi" w:cstheme="majorBidi"/>
          <w:color w:val="000000"/>
          <w:sz w:val="24"/>
          <w:szCs w:val="24"/>
        </w:rPr>
        <w:t xml:space="preserve"> therapy can be managed successfully with Letrozole. Both dose regimens used succeeded in management of simple endometrial hyperplasia without </w:t>
      </w:r>
      <w:proofErr w:type="spellStart"/>
      <w:r w:rsidRPr="000D5AE6">
        <w:rPr>
          <w:rFonts w:asciiTheme="majorBidi" w:hAnsiTheme="majorBidi" w:cstheme="majorBidi"/>
          <w:color w:val="000000"/>
          <w:sz w:val="24"/>
          <w:szCs w:val="24"/>
        </w:rPr>
        <w:t>atypia</w:t>
      </w:r>
      <w:proofErr w:type="spellEnd"/>
      <w:r w:rsidRPr="000D5AE6">
        <w:rPr>
          <w:rFonts w:asciiTheme="majorBidi" w:hAnsiTheme="majorBidi" w:cstheme="majorBidi"/>
          <w:color w:val="000000"/>
          <w:sz w:val="24"/>
          <w:szCs w:val="24"/>
        </w:rPr>
        <w:t xml:space="preserve"> with no significant difference between them as regard the clinical, radiological or histological outcome. However, the second dose group B (5 mg) was associated with higher side effects, failure rates, cost and less patient compliance, so, group A (2.5 mg) is preferred, however further RCT are warranted to prove or disprove this.</w:t>
      </w:r>
    </w:p>
    <w:p w:rsidR="009B2747" w:rsidRDefault="009B2747">
      <w:pPr>
        <w:rPr>
          <w:rFonts w:ascii="Century Gothic" w:hAnsi="Century Gothic"/>
          <w:b/>
          <w:bCs/>
          <w:color w:val="262626"/>
          <w:kern w:val="24"/>
          <w:sz w:val="36"/>
          <w:szCs w:val="36"/>
        </w:rPr>
      </w:pPr>
    </w:p>
    <w:p w:rsidR="009B2747" w:rsidRDefault="009B2747">
      <w:pPr>
        <w:rPr>
          <w:rFonts w:ascii="Century Gothic" w:hAnsi="Century Gothic"/>
          <w:b/>
          <w:bCs/>
          <w:color w:val="262626"/>
          <w:kern w:val="24"/>
          <w:sz w:val="36"/>
          <w:szCs w:val="36"/>
        </w:rPr>
      </w:pPr>
    </w:p>
    <w:p w:rsidR="009B2747" w:rsidRPr="009B2747" w:rsidRDefault="009B2747">
      <w:pPr>
        <w:rPr>
          <w:sz w:val="36"/>
          <w:szCs w:val="36"/>
        </w:rPr>
      </w:pPr>
    </w:p>
    <w:sectPr w:rsidR="009B2747" w:rsidRPr="009B27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747"/>
    <w:rsid w:val="0015159F"/>
    <w:rsid w:val="003F5AC1"/>
    <w:rsid w:val="009B2747"/>
    <w:rsid w:val="00EB443F"/>
    <w:rsid w:val="00F0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ibrahimelbahlool</dc:creator>
  <cp:keywords/>
  <dc:description/>
  <cp:lastModifiedBy>DELL</cp:lastModifiedBy>
  <cp:revision>5</cp:revision>
  <dcterms:created xsi:type="dcterms:W3CDTF">2019-01-13T22:45:00Z</dcterms:created>
  <dcterms:modified xsi:type="dcterms:W3CDTF">2021-12-23T11:19:00Z</dcterms:modified>
</cp:coreProperties>
</file>