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000000" w:rsidRDefault="00C812D6">
      <w:pPr>
        <w:spacing w:line="200" w:lineRule="exact"/>
        <w:rPr>
          <w:rFonts w:ascii="Times New Roman" w:eastAsia="Times New Roman" w:hAnsi="Times New Roman"/>
          <w:sz w:val="24"/>
        </w:rPr>
      </w:pPr>
      <w:bookmarkStart w:id="0" w:name="page1"/>
      <w:bookmarkStart w:id="1" w:name="_GoBack"/>
      <w:bookmarkEnd w:id="0"/>
      <w:bookmarkEnd w:id="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4.95pt;margin-top:60.95pt;width:84.55pt;height:91.8pt;z-index:-251661312;mso-position-horizontal-relative:page;mso-position-vertical-relative:page">
            <v:imagedata r:id="rId5" o:title="" chromakey="white"/>
            <w10:wrap anchorx="page" anchory="page"/>
          </v:shape>
        </w:pict>
      </w:r>
    </w:p>
    <w:p w:rsidR="00000000" w:rsidRDefault="00C812D6">
      <w:pPr>
        <w:spacing w:line="206" w:lineRule="exact"/>
        <w:rPr>
          <w:rFonts w:ascii="Times New Roman" w:eastAsia="Times New Roman" w:hAnsi="Times New Roman"/>
          <w:sz w:val="24"/>
        </w:rPr>
      </w:pPr>
    </w:p>
    <w:p w:rsidR="00000000" w:rsidRDefault="00C812D6">
      <w:pPr>
        <w:spacing w:line="0" w:lineRule="atLeast"/>
        <w:jc w:val="center"/>
        <w:rPr>
          <w:b/>
        </w:rPr>
      </w:pPr>
      <w:r>
        <w:rPr>
          <w:b/>
        </w:rPr>
        <w:t>ST. LUKE</w:t>
      </w:r>
      <w:r>
        <w:rPr>
          <w:b/>
        </w:rPr>
        <w:t>’S MEDICAL CENTER</w:t>
      </w:r>
      <w:r>
        <w:rPr>
          <w:b/>
        </w:rPr>
        <w:t>- GLOBAL CITY</w:t>
      </w:r>
    </w:p>
    <w:p w:rsidR="00000000" w:rsidRDefault="00C812D6">
      <w:pPr>
        <w:spacing w:line="1" w:lineRule="exact"/>
        <w:rPr>
          <w:rFonts w:ascii="Times New Roman" w:eastAsia="Times New Roman" w:hAnsi="Times New Roman"/>
          <w:sz w:val="24"/>
        </w:rPr>
      </w:pPr>
    </w:p>
    <w:p w:rsidR="00000000" w:rsidRDefault="00C812D6">
      <w:pPr>
        <w:spacing w:line="0" w:lineRule="atLeast"/>
        <w:ind w:right="20"/>
        <w:jc w:val="center"/>
        <w:rPr>
          <w:b/>
        </w:rPr>
      </w:pPr>
      <w:r>
        <w:rPr>
          <w:b/>
        </w:rPr>
        <w:t>INSTITUTE OF PEDIATRICS AND CHILD HEALTH</w:t>
      </w:r>
    </w:p>
    <w:p w:rsidR="00000000" w:rsidRDefault="00C812D6">
      <w:pPr>
        <w:spacing w:line="200" w:lineRule="exact"/>
        <w:rPr>
          <w:rFonts w:ascii="Times New Roman" w:eastAsia="Times New Roman" w:hAnsi="Times New Roman"/>
          <w:sz w:val="24"/>
        </w:rPr>
      </w:pPr>
    </w:p>
    <w:p w:rsidR="00000000" w:rsidRDefault="00C812D6">
      <w:pPr>
        <w:spacing w:line="298" w:lineRule="exact"/>
        <w:rPr>
          <w:rFonts w:ascii="Times New Roman" w:eastAsia="Times New Roman" w:hAnsi="Times New Roman"/>
          <w:sz w:val="24"/>
        </w:rPr>
      </w:pPr>
    </w:p>
    <w:p w:rsidR="00000000" w:rsidRDefault="00C812D6">
      <w:pPr>
        <w:spacing w:line="0" w:lineRule="atLeast"/>
        <w:ind w:right="20"/>
        <w:jc w:val="center"/>
        <w:rPr>
          <w:b/>
          <w:sz w:val="19"/>
        </w:rPr>
      </w:pPr>
      <w:r>
        <w:rPr>
          <w:b/>
          <w:sz w:val="19"/>
        </w:rPr>
        <w:t>ESOPHAGEAL ACHALASIA IN AN ADOLESCENT: A CASE REPORT</w:t>
      </w:r>
    </w:p>
    <w:p w:rsidR="00000000" w:rsidRDefault="00C812D6">
      <w:pPr>
        <w:spacing w:line="1" w:lineRule="exact"/>
        <w:rPr>
          <w:rFonts w:ascii="Times New Roman" w:eastAsia="Times New Roman" w:hAnsi="Times New Roman"/>
          <w:sz w:val="24"/>
        </w:rPr>
      </w:pPr>
    </w:p>
    <w:p w:rsidR="00000000" w:rsidRDefault="00C812D6">
      <w:pPr>
        <w:spacing w:line="0" w:lineRule="atLeast"/>
        <w:ind w:right="20"/>
        <w:jc w:val="center"/>
        <w:rPr>
          <w:b/>
        </w:rPr>
      </w:pPr>
      <w:r>
        <w:rPr>
          <w:b/>
        </w:rPr>
        <w:t>By: Corinna Mae R. Carag, MD</w:t>
      </w:r>
    </w:p>
    <w:p w:rsidR="00000000" w:rsidRDefault="00C812D6">
      <w:pPr>
        <w:spacing w:line="0" w:lineRule="atLeast"/>
        <w:ind w:right="20"/>
        <w:jc w:val="center"/>
        <w:rPr>
          <w:b/>
        </w:rPr>
        <w:sectPr w:rsidR="00000000">
          <w:pgSz w:w="12240" w:h="15840"/>
          <w:pgMar w:top="1440" w:right="1420" w:bottom="140" w:left="1440" w:header="0" w:footer="0" w:gutter="0"/>
          <w:cols w:space="0" w:equalWidth="0">
            <w:col w:w="9380"/>
          </w:cols>
          <w:docGrid w:linePitch="360"/>
        </w:sectPr>
      </w:pPr>
    </w:p>
    <w:p w:rsidR="00000000" w:rsidRDefault="00C812D6">
      <w:pPr>
        <w:spacing w:line="200" w:lineRule="exact"/>
        <w:rPr>
          <w:rFonts w:ascii="Times New Roman" w:eastAsia="Times New Roman" w:hAnsi="Times New Roman"/>
          <w:sz w:val="24"/>
        </w:rPr>
      </w:pPr>
    </w:p>
    <w:p w:rsidR="00000000" w:rsidRDefault="00C812D6">
      <w:pPr>
        <w:spacing w:line="261" w:lineRule="exact"/>
        <w:rPr>
          <w:rFonts w:ascii="Times New Roman" w:eastAsia="Times New Roman" w:hAnsi="Times New Roman"/>
          <w:sz w:val="24"/>
        </w:rPr>
      </w:pPr>
    </w:p>
    <w:p w:rsidR="00000000" w:rsidRDefault="00C812D6">
      <w:pPr>
        <w:spacing w:line="0" w:lineRule="atLeast"/>
        <w:rPr>
          <w:b/>
        </w:rPr>
      </w:pPr>
      <w:r>
        <w:rPr>
          <w:b/>
        </w:rPr>
        <w:t>Abstract</w:t>
      </w:r>
    </w:p>
    <w:p w:rsidR="00000000" w:rsidRDefault="00C812D6">
      <w:pPr>
        <w:spacing w:line="40" w:lineRule="exact"/>
        <w:rPr>
          <w:rFonts w:ascii="Times New Roman" w:eastAsia="Times New Roman" w:hAnsi="Times New Roman"/>
          <w:sz w:val="24"/>
        </w:rPr>
      </w:pPr>
    </w:p>
    <w:p w:rsidR="00000000" w:rsidRDefault="00C812D6">
      <w:pPr>
        <w:spacing w:line="236" w:lineRule="auto"/>
        <w:ind w:firstLine="720"/>
        <w:jc w:val="both"/>
      </w:pPr>
      <w:r>
        <w:t>Achalasia is a rare disorder, particularly in Pediatrics, characterized by</w:t>
      </w:r>
      <w:r>
        <w:t xml:space="preserve"> esophageal aperistalsis and inadequate relaxation of the lower esophageal sphincter. Its etiology remains unclear and is mostly idiopathic. This is a case of an adolescent male who presented with progressive dysphagia, occasional chest pain, and significa</w:t>
      </w:r>
      <w:r>
        <w:t>nt weight loss, and was diagnosed with Esophageal Achalasia through upper GI series, endoscopy, and manometry. The patient underwent Heller</w:t>
      </w:r>
      <w:r>
        <w:t>’s Myotomy, the surgical gold standard for treatment.</w:t>
      </w:r>
    </w:p>
    <w:p w:rsidR="00000000" w:rsidRDefault="00C812D6">
      <w:pPr>
        <w:spacing w:line="290" w:lineRule="exact"/>
        <w:rPr>
          <w:rFonts w:ascii="Times New Roman" w:eastAsia="Times New Roman" w:hAnsi="Times New Roman"/>
          <w:sz w:val="24"/>
        </w:rPr>
      </w:pPr>
    </w:p>
    <w:p w:rsidR="00000000" w:rsidRDefault="00C812D6">
      <w:pPr>
        <w:spacing w:line="218" w:lineRule="auto"/>
        <w:jc w:val="both"/>
        <w:rPr>
          <w:i/>
        </w:rPr>
      </w:pPr>
      <w:r>
        <w:rPr>
          <w:i/>
        </w:rPr>
        <w:t>Keywords: Achalasia, Heller</w:t>
      </w:r>
      <w:r>
        <w:rPr>
          <w:i/>
        </w:rPr>
        <w:t>’s Myotomy, Esophageal Motility Dis</w:t>
      </w:r>
      <w:r>
        <w:rPr>
          <w:i/>
        </w:rPr>
        <w:t>order</w:t>
      </w:r>
    </w:p>
    <w:p w:rsidR="00000000" w:rsidRDefault="00C812D6">
      <w:pPr>
        <w:spacing w:line="20" w:lineRule="exact"/>
        <w:rPr>
          <w:rFonts w:ascii="Times New Roman" w:eastAsia="Times New Roman" w:hAnsi="Times New Roman"/>
          <w:sz w:val="24"/>
        </w:rPr>
      </w:pPr>
      <w:r>
        <w:rPr>
          <w:i/>
        </w:rPr>
        <w:pict>
          <v:shape id="_x0000_s1027" type="#_x0000_t75" style="position:absolute;margin-left:-1.4pt;margin-top:1.3pt;width:219.35pt;height:1.5pt;z-index:-251660288">
            <v:imagedata r:id="rId6" o:title=""/>
          </v:shape>
        </w:pict>
      </w:r>
    </w:p>
    <w:p w:rsidR="00000000" w:rsidRDefault="00C812D6">
      <w:pPr>
        <w:spacing w:line="277" w:lineRule="exact"/>
        <w:rPr>
          <w:rFonts w:ascii="Times New Roman" w:eastAsia="Times New Roman" w:hAnsi="Times New Roman"/>
          <w:sz w:val="24"/>
        </w:rPr>
      </w:pPr>
    </w:p>
    <w:p w:rsidR="00000000" w:rsidRDefault="00C812D6">
      <w:pPr>
        <w:spacing w:line="0" w:lineRule="atLeast"/>
        <w:rPr>
          <w:b/>
        </w:rPr>
      </w:pPr>
      <w:r>
        <w:rPr>
          <w:b/>
        </w:rPr>
        <w:t>Introduction</w:t>
      </w:r>
    </w:p>
    <w:p w:rsidR="00000000" w:rsidRDefault="00C812D6">
      <w:pPr>
        <w:spacing w:line="45" w:lineRule="exact"/>
        <w:rPr>
          <w:rFonts w:ascii="Times New Roman" w:eastAsia="Times New Roman" w:hAnsi="Times New Roman"/>
          <w:sz w:val="24"/>
        </w:rPr>
      </w:pPr>
    </w:p>
    <w:p w:rsidR="00000000" w:rsidRDefault="00C812D6">
      <w:pPr>
        <w:spacing w:line="230" w:lineRule="auto"/>
        <w:ind w:firstLine="720"/>
        <w:jc w:val="both"/>
        <w:rPr>
          <w:sz w:val="26"/>
          <w:vertAlign w:val="superscript"/>
        </w:rPr>
      </w:pPr>
      <w:r>
        <w:t>Achalasia of the esophagus is a very rare condition, with an estimated annual incidence of 1:100,000 cases overall, and less than 5% of which occur in children (0.11 per 100,000 pediatric patients).</w:t>
      </w:r>
      <w:r>
        <w:rPr>
          <w:sz w:val="26"/>
          <w:vertAlign w:val="superscript"/>
        </w:rPr>
        <w:t>1</w:t>
      </w:r>
      <w:r>
        <w:t xml:space="preserve"> Pediatric achalasia is generally </w:t>
      </w:r>
      <w:r>
        <w:t>diagnosed between 7 and 15 years of age and has a slight predominance in boys.</w:t>
      </w:r>
      <w:r>
        <w:rPr>
          <w:sz w:val="26"/>
          <w:vertAlign w:val="superscript"/>
        </w:rPr>
        <w:t>2</w:t>
      </w:r>
      <w:r>
        <w:t xml:space="preserve"> In the Philippines, only 3 cases have been reported in the Philippine Pediatric Society Registry for the year 2020.</w:t>
      </w:r>
      <w:r>
        <w:rPr>
          <w:sz w:val="26"/>
          <w:vertAlign w:val="superscript"/>
        </w:rPr>
        <w:t>3</w:t>
      </w:r>
      <w:r>
        <w:t xml:space="preserve"> Achalasia is a pathological condition causing dysphagia, re</w:t>
      </w:r>
      <w:r>
        <w:t>flux, and regurgitation. The hallmarks of diagnosis include esophageal dysmotility and lack of relaxation of the lower esophageal sphincter (LES). Diagnosis is suspected by the clinical history, but is often delayed in children because of the rarity of the</w:t>
      </w:r>
      <w:r>
        <w:t xml:space="preserve"> disease. If left untreated, the sequelae can be significant, as the proximal esophageal tissue becomes more compliant as a compensatory measure and entirely non-functional by end-stage disease. It is a life-long, debilitating condition, with a significant</w:t>
      </w:r>
      <w:r>
        <w:t xml:space="preserve"> impact on quality of life. Hence, prompt diagnosis and intervention are needed. To date, pneumatic balloon dilation (PD) and Heller</w:t>
      </w:r>
      <w:r>
        <w:t>’s myotomy (HM) are considered the most effective therapeutic options in children.</w:t>
      </w:r>
      <w:r>
        <w:rPr>
          <w:sz w:val="26"/>
          <w:vertAlign w:val="superscript"/>
        </w:rPr>
        <w:t>4</w:t>
      </w:r>
    </w:p>
    <w:p w:rsidR="00000000" w:rsidRDefault="00C812D6">
      <w:pPr>
        <w:spacing w:line="200" w:lineRule="exact"/>
        <w:rPr>
          <w:rFonts w:ascii="Times New Roman" w:eastAsia="Times New Roman" w:hAnsi="Times New Roman"/>
          <w:sz w:val="24"/>
        </w:rPr>
      </w:pPr>
      <w:r>
        <w:rPr>
          <w:sz w:val="26"/>
          <w:vertAlign w:val="superscript"/>
        </w:rPr>
        <w:br w:type="column"/>
      </w:r>
    </w:p>
    <w:p w:rsidR="00000000" w:rsidRDefault="00C812D6">
      <w:pPr>
        <w:spacing w:line="261" w:lineRule="exact"/>
        <w:rPr>
          <w:rFonts w:ascii="Times New Roman" w:eastAsia="Times New Roman" w:hAnsi="Times New Roman"/>
          <w:sz w:val="24"/>
        </w:rPr>
      </w:pPr>
    </w:p>
    <w:p w:rsidR="00000000" w:rsidRDefault="00C812D6">
      <w:pPr>
        <w:spacing w:line="0" w:lineRule="atLeast"/>
        <w:rPr>
          <w:b/>
        </w:rPr>
      </w:pPr>
      <w:r>
        <w:rPr>
          <w:b/>
        </w:rPr>
        <w:t>Case Presentation</w:t>
      </w:r>
    </w:p>
    <w:p w:rsidR="00000000" w:rsidRDefault="00C812D6">
      <w:pPr>
        <w:spacing w:line="40" w:lineRule="exact"/>
        <w:rPr>
          <w:rFonts w:ascii="Times New Roman" w:eastAsia="Times New Roman" w:hAnsi="Times New Roman"/>
          <w:sz w:val="24"/>
        </w:rPr>
      </w:pPr>
    </w:p>
    <w:p w:rsidR="00000000" w:rsidRDefault="00C812D6">
      <w:pPr>
        <w:spacing w:line="252" w:lineRule="auto"/>
        <w:ind w:right="20" w:firstLine="720"/>
        <w:jc w:val="both"/>
        <w:rPr>
          <w:sz w:val="19"/>
        </w:rPr>
      </w:pPr>
      <w:r>
        <w:rPr>
          <w:sz w:val="19"/>
        </w:rPr>
        <w:t>A 15-year-old male</w:t>
      </w:r>
      <w:r>
        <w:rPr>
          <w:sz w:val="19"/>
        </w:rPr>
        <w:t xml:space="preserve"> was admitted for a 1 year history of progressive dysphagia (initially to solids, and eventually progressing to liquids), with frequent regurgitation, occasional chest pain, and significant weight loss (~60 lbs or 27kg in 1 year). The patient had no known </w:t>
      </w:r>
      <w:r>
        <w:rPr>
          <w:sz w:val="19"/>
        </w:rPr>
        <w:t>illnesses and this was the patient</w:t>
      </w:r>
      <w:r>
        <w:rPr>
          <w:sz w:val="19"/>
        </w:rPr>
        <w:t>’s first admission. The patient had normal vital signs for age and an unremarkable physical examination. Esophagoduodenoscopy was done for the patient revealing absence of any mechanical obstruction or inflammatory cause o</w:t>
      </w:r>
      <w:r>
        <w:rPr>
          <w:sz w:val="19"/>
        </w:rPr>
        <w:t>f the patient</w:t>
      </w:r>
      <w:r>
        <w:rPr>
          <w:sz w:val="19"/>
        </w:rPr>
        <w:t>’s esophageal symptoms. Gastric and distal esophageal biopsy showed unremarkable results with no active inflammation, intestinal metaplasia, atrophy, or dysplasia. Hence, an upper Gastrointestinal Series (UGIS) with barium contrast was facilit</w:t>
      </w:r>
      <w:r>
        <w:rPr>
          <w:sz w:val="19"/>
        </w:rPr>
        <w:t>ated. Results showed satisfactory swallowing mechanism, with no gross tracheal aspiration or nasopharyngeal regurgitation. However, there was narrowing at the region of the lower esophageal sphincter with lack of peristalsis, dilatation, and pooling of con</w:t>
      </w:r>
      <w:r>
        <w:rPr>
          <w:sz w:val="19"/>
        </w:rPr>
        <w:t>trast at the distal segment of the esophagus. Findings were reflective of Achalasia (Figure 1). To further strengthen the diagnosis, an Esophageal Manometry test was done which showed incomplete relaxation of the LES in response to swallowing, high resting</w:t>
      </w:r>
      <w:r>
        <w:rPr>
          <w:sz w:val="19"/>
        </w:rPr>
        <w:t xml:space="preserve"> LES pressure, and absent esophageal peristalsis (Figure 2) which were consistent with a Classic Achalasia according to the Chicago Classification of Esophageal Motility Disorders for manometry (Figure 3). A chest CT scan was also done for the patient whic</w:t>
      </w:r>
      <w:r>
        <w:rPr>
          <w:sz w:val="19"/>
        </w:rPr>
        <w:t>h showed dilated intrathoracic esophagus down to the gastro-esophageal junction with air-fluid level and non-thickened walls reflective of Achalasia (Figure 4). The patient then underwent Heller</w:t>
      </w:r>
      <w:r>
        <w:rPr>
          <w:sz w:val="19"/>
        </w:rPr>
        <w:t>’s Myotomy with Dor Fundoplication which the patient tolerated</w:t>
      </w:r>
      <w:r>
        <w:rPr>
          <w:sz w:val="19"/>
        </w:rPr>
        <w:t xml:space="preserve"> well with no immediate post-operative complications noted. The patient was admitted for a total of 7 days for post-operative care. The patient was initially placed on NPO for 24 hours post-operatively and feeding was slowly progressed until diet as tolera</w:t>
      </w:r>
      <w:r>
        <w:rPr>
          <w:sz w:val="19"/>
        </w:rPr>
        <w:t>ted was achieved prior to discharge. The patient had an unremarkable</w:t>
      </w:r>
    </w:p>
    <w:p w:rsidR="00000000" w:rsidRDefault="00C812D6">
      <w:pPr>
        <w:spacing w:line="252" w:lineRule="auto"/>
        <w:ind w:right="20" w:firstLine="720"/>
        <w:jc w:val="both"/>
        <w:rPr>
          <w:sz w:val="19"/>
        </w:rPr>
        <w:sectPr w:rsidR="00000000">
          <w:type w:val="continuous"/>
          <w:pgSz w:w="12240" w:h="15840"/>
          <w:pgMar w:top="1440" w:right="1420" w:bottom="140" w:left="1440" w:header="0" w:footer="0" w:gutter="0"/>
          <w:cols w:num="2" w:space="0" w:equalWidth="0">
            <w:col w:w="4320" w:space="720"/>
            <w:col w:w="4340"/>
          </w:cols>
          <w:docGrid w:linePitch="360"/>
        </w:sectPr>
      </w:pPr>
    </w:p>
    <w:p w:rsidR="00000000" w:rsidRDefault="00C812D6">
      <w:pPr>
        <w:spacing w:line="200" w:lineRule="exact"/>
        <w:rPr>
          <w:rFonts w:ascii="Times New Roman" w:eastAsia="Times New Roman" w:hAnsi="Times New Roman"/>
          <w:sz w:val="24"/>
        </w:rPr>
      </w:pPr>
    </w:p>
    <w:p w:rsidR="00000000" w:rsidRDefault="00C812D6">
      <w:pPr>
        <w:spacing w:line="374" w:lineRule="exact"/>
        <w:rPr>
          <w:rFonts w:ascii="Times New Roman" w:eastAsia="Times New Roman" w:hAnsi="Times New Roman"/>
          <w:sz w:val="24"/>
        </w:rPr>
      </w:pPr>
    </w:p>
    <w:p w:rsidR="00000000" w:rsidRDefault="00C812D6">
      <w:pPr>
        <w:spacing w:line="0" w:lineRule="atLeast"/>
        <w:ind w:left="9260"/>
        <w:rPr>
          <w:rFonts w:ascii="Times New Roman" w:eastAsia="Times New Roman" w:hAnsi="Times New Roman"/>
          <w:sz w:val="24"/>
        </w:rPr>
      </w:pPr>
      <w:r>
        <w:rPr>
          <w:rFonts w:ascii="Times New Roman" w:eastAsia="Times New Roman" w:hAnsi="Times New Roman"/>
          <w:sz w:val="24"/>
        </w:rPr>
        <w:t>1</w:t>
      </w:r>
    </w:p>
    <w:p w:rsidR="00000000" w:rsidRDefault="00C812D6">
      <w:pPr>
        <w:spacing w:line="0" w:lineRule="atLeast"/>
        <w:ind w:left="9260"/>
        <w:rPr>
          <w:rFonts w:ascii="Times New Roman" w:eastAsia="Times New Roman" w:hAnsi="Times New Roman"/>
          <w:sz w:val="24"/>
        </w:rPr>
        <w:sectPr w:rsidR="00000000">
          <w:type w:val="continuous"/>
          <w:pgSz w:w="12240" w:h="15840"/>
          <w:pgMar w:top="1440" w:right="1420" w:bottom="140" w:left="1440" w:header="0" w:footer="0" w:gutter="0"/>
          <w:cols w:space="0" w:equalWidth="0">
            <w:col w:w="9380"/>
          </w:cols>
          <w:docGrid w:linePitch="360"/>
        </w:sectPr>
      </w:pPr>
    </w:p>
    <w:p w:rsidR="00000000" w:rsidRDefault="00C812D6">
      <w:pPr>
        <w:spacing w:line="16" w:lineRule="exact"/>
        <w:rPr>
          <w:rFonts w:ascii="Times New Roman" w:eastAsia="Times New Roman" w:hAnsi="Times New Roman"/>
        </w:rPr>
      </w:pPr>
      <w:bookmarkStart w:id="2" w:name="page2"/>
      <w:bookmarkEnd w:id="2"/>
      <w:r>
        <w:rPr>
          <w:rFonts w:ascii="Times New Roman" w:eastAsia="Times New Roman" w:hAnsi="Times New Roman"/>
          <w:sz w:val="24"/>
        </w:rPr>
        <w:lastRenderedPageBreak/>
        <w:pict>
          <v:shape id="_x0000_s1028" type="#_x0000_t75" style="position:absolute;margin-left:349.35pt;margin-top:71pt;width:164.65pt;height:131.85pt;z-index:-251659264;mso-position-horizontal-relative:page;mso-position-vertical-relative:page">
            <v:imagedata r:id="rId7" o:title="" chromakey="white"/>
            <w10:wrap anchorx="page" anchory="page"/>
          </v:shape>
        </w:pict>
      </w:r>
    </w:p>
    <w:p w:rsidR="00000000" w:rsidRDefault="00C812D6">
      <w:pPr>
        <w:spacing w:line="218" w:lineRule="auto"/>
        <w:ind w:right="5040"/>
      </w:pPr>
      <w:r>
        <w:t>hospital course with no noted regurgitation or chest pain post-operatively and was discharged well.</w:t>
      </w:r>
    </w:p>
    <w:p w:rsidR="00000000" w:rsidRDefault="00C812D6">
      <w:pPr>
        <w:spacing w:line="20" w:lineRule="exact"/>
        <w:rPr>
          <w:rFonts w:ascii="Times New Roman" w:eastAsia="Times New Roman" w:hAnsi="Times New Roman"/>
        </w:rPr>
      </w:pPr>
      <w:r>
        <w:pict>
          <v:shape id="_x0000_s1029" type="#_x0000_t75" style="position:absolute;margin-left:62pt;margin-top:12.55pt;width:95.3pt;height:138.7pt;z-index:-251658240">
            <v:imagedata r:id="rId8" o:title=""/>
          </v:shape>
        </w:pict>
      </w:r>
    </w:p>
    <w:p w:rsidR="00000000" w:rsidRDefault="00C812D6">
      <w:pPr>
        <w:spacing w:line="20" w:lineRule="exact"/>
        <w:rPr>
          <w:rFonts w:ascii="Times New Roman" w:eastAsia="Times New Roman" w:hAnsi="Times New Roman"/>
        </w:rPr>
        <w:sectPr w:rsidR="00000000">
          <w:pgSz w:w="12240" w:h="15840"/>
          <w:pgMar w:top="1440" w:right="1440" w:bottom="140" w:left="1440" w:header="0" w:footer="0" w:gutter="0"/>
          <w:cols w:space="0" w:equalWidth="0">
            <w:col w:w="9360"/>
          </w:cols>
          <w:docGrid w:linePitch="360"/>
        </w:sect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72" w:lineRule="exact"/>
        <w:rPr>
          <w:rFonts w:ascii="Times New Roman" w:eastAsia="Times New Roman" w:hAnsi="Times New Roman"/>
        </w:rPr>
      </w:pPr>
    </w:p>
    <w:p w:rsidR="00000000" w:rsidRDefault="00C812D6">
      <w:pPr>
        <w:spacing w:line="0" w:lineRule="atLeast"/>
        <w:ind w:left="20"/>
        <w:jc w:val="center"/>
        <w:rPr>
          <w:sz w:val="19"/>
        </w:rPr>
      </w:pPr>
      <w:r>
        <w:rPr>
          <w:i/>
          <w:sz w:val="19"/>
        </w:rPr>
        <w:t>Figure 1</w:t>
      </w:r>
      <w:r>
        <w:rPr>
          <w:sz w:val="19"/>
        </w:rPr>
        <w:t>. The patient</w:t>
      </w:r>
      <w:r>
        <w:rPr>
          <w:sz w:val="19"/>
        </w:rPr>
        <w:t>’s upper GI series result showing</w:t>
      </w:r>
      <w:r>
        <w:rPr>
          <w:i/>
          <w:sz w:val="19"/>
        </w:rPr>
        <w:t xml:space="preserve"> </w:t>
      </w:r>
      <w:r>
        <w:rPr>
          <w:sz w:val="19"/>
        </w:rPr>
        <w:t>a narr</w:t>
      </w:r>
      <w:r>
        <w:rPr>
          <w:sz w:val="19"/>
        </w:rPr>
        <w:t>owing at the region of the lower esophageal sphincter with dilatation of the distal segment of the esophagus</w:t>
      </w:r>
      <w:r>
        <w:rPr>
          <w:sz w:val="19"/>
        </w:rPr>
        <w:t xml:space="preserve">— a classic </w:t>
      </w:r>
      <w:r>
        <w:rPr>
          <w:sz w:val="19"/>
        </w:rPr>
        <w:t>“bird</w:t>
      </w:r>
      <w:r>
        <w:rPr>
          <w:sz w:val="19"/>
        </w:rPr>
        <w:t>’s beak</w:t>
      </w:r>
      <w:r>
        <w:rPr>
          <w:sz w:val="19"/>
        </w:rPr>
        <w:t>” sign</w:t>
      </w:r>
    </w:p>
    <w:p w:rsidR="00000000" w:rsidRDefault="00C812D6">
      <w:pPr>
        <w:spacing w:line="4" w:lineRule="exact"/>
        <w:rPr>
          <w:rFonts w:ascii="Times New Roman" w:eastAsia="Times New Roman" w:hAnsi="Times New Roman"/>
        </w:rPr>
      </w:pPr>
    </w:p>
    <w:p w:rsidR="00000000" w:rsidRDefault="00C812D6">
      <w:pPr>
        <w:spacing w:line="0" w:lineRule="atLeast"/>
        <w:ind w:left="1240"/>
      </w:pPr>
      <w:r>
        <w:t>indicative of Achalasia.</w:t>
      </w:r>
    </w:p>
    <w:p w:rsidR="00000000" w:rsidRDefault="00C812D6">
      <w:pPr>
        <w:spacing w:line="20" w:lineRule="exact"/>
        <w:rPr>
          <w:rFonts w:ascii="Times New Roman" w:eastAsia="Times New Roman" w:hAnsi="Times New Roman"/>
        </w:rPr>
      </w:pPr>
      <w:r>
        <w:pict>
          <v:shape id="_x0000_s1030" type="#_x0000_t75" style="position:absolute;margin-left:20.5pt;margin-top:12.4pt;width:175.25pt;height:106.25pt;z-index:-251657216">
            <v:imagedata r:id="rId9" o:title=""/>
          </v:shape>
        </w:pict>
      </w: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396" w:lineRule="exact"/>
        <w:rPr>
          <w:rFonts w:ascii="Times New Roman" w:eastAsia="Times New Roman" w:hAnsi="Times New Roman"/>
        </w:rPr>
      </w:pPr>
    </w:p>
    <w:p w:rsidR="00000000" w:rsidRDefault="00C812D6">
      <w:pPr>
        <w:spacing w:line="231" w:lineRule="auto"/>
        <w:ind w:left="20" w:right="20"/>
        <w:jc w:val="center"/>
      </w:pPr>
      <w:r>
        <w:rPr>
          <w:i/>
        </w:rPr>
        <w:t>Figure 2</w:t>
      </w:r>
      <w:r>
        <w:t>. The patient</w:t>
      </w:r>
      <w:r>
        <w:t>’s manometry result showing</w:t>
      </w:r>
      <w:r>
        <w:rPr>
          <w:i/>
        </w:rPr>
        <w:t xml:space="preserve"> </w:t>
      </w:r>
      <w:r>
        <w:t>high resting LES pressure and</w:t>
      </w:r>
      <w:r>
        <w:t xml:space="preserve"> absent esophageal peristalsis consistent with a Classic Achalasia according to the Chicago Classification of Esophageal Motility Disorders.</w:t>
      </w:r>
    </w:p>
    <w:p w:rsidR="00000000" w:rsidRDefault="00C812D6">
      <w:pPr>
        <w:spacing w:line="20" w:lineRule="exact"/>
        <w:rPr>
          <w:rFonts w:ascii="Times New Roman" w:eastAsia="Times New Roman" w:hAnsi="Times New Roman"/>
        </w:rPr>
      </w:pPr>
      <w:r>
        <w:pict>
          <v:shape id="_x0000_s1031" type="#_x0000_t75" style="position:absolute;margin-left:35.65pt;margin-top:12.35pt;width:144.95pt;height:133.2pt;z-index:-251656192">
            <v:imagedata r:id="rId10" o:title=""/>
          </v:shape>
        </w:pict>
      </w: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336" w:lineRule="exact"/>
        <w:rPr>
          <w:rFonts w:ascii="Times New Roman" w:eastAsia="Times New Roman" w:hAnsi="Times New Roman"/>
        </w:rPr>
      </w:pPr>
    </w:p>
    <w:p w:rsidR="00000000" w:rsidRDefault="00C812D6">
      <w:pPr>
        <w:spacing w:line="224" w:lineRule="auto"/>
        <w:ind w:left="20" w:right="20"/>
        <w:jc w:val="center"/>
      </w:pPr>
      <w:r>
        <w:rPr>
          <w:i/>
        </w:rPr>
        <w:t>Figure 3</w:t>
      </w:r>
      <w:r>
        <w:t>. Examples of manometry color plots</w:t>
      </w:r>
      <w:r>
        <w:rPr>
          <w:i/>
        </w:rPr>
        <w:t xml:space="preserve"> </w:t>
      </w:r>
      <w:r>
        <w:t>showing individual disorders based on the Chicago Class</w:t>
      </w:r>
      <w:r>
        <w:t>ification for manometric findings.</w:t>
      </w:r>
    </w:p>
    <w:p w:rsidR="00000000" w:rsidRDefault="00C812D6">
      <w:pPr>
        <w:spacing w:line="200" w:lineRule="exact"/>
        <w:rPr>
          <w:rFonts w:ascii="Times New Roman" w:eastAsia="Times New Roman" w:hAnsi="Times New Roman"/>
        </w:rPr>
      </w:pPr>
      <w:r>
        <w:br w:type="column"/>
      </w: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397" w:lineRule="exact"/>
        <w:rPr>
          <w:rFonts w:ascii="Times New Roman" w:eastAsia="Times New Roman" w:hAnsi="Times New Roman"/>
        </w:rPr>
      </w:pPr>
    </w:p>
    <w:p w:rsidR="00000000" w:rsidRDefault="00C812D6">
      <w:pPr>
        <w:spacing w:line="226" w:lineRule="auto"/>
        <w:ind w:left="240"/>
        <w:jc w:val="center"/>
      </w:pPr>
      <w:r>
        <w:rPr>
          <w:i/>
        </w:rPr>
        <w:t>Figure 4</w:t>
      </w:r>
      <w:r>
        <w:t>. The patient</w:t>
      </w:r>
      <w:r>
        <w:t>’s CT scan result showing a</w:t>
      </w:r>
      <w:r>
        <w:rPr>
          <w:i/>
        </w:rPr>
        <w:t xml:space="preserve"> </w:t>
      </w:r>
      <w:r>
        <w:t>dilated intrathoracic esophagus down to the gastroesophageal junction</w:t>
      </w:r>
    </w:p>
    <w:p w:rsidR="00000000" w:rsidRDefault="00C812D6">
      <w:pPr>
        <w:spacing w:line="246" w:lineRule="exact"/>
        <w:rPr>
          <w:rFonts w:ascii="Times New Roman" w:eastAsia="Times New Roman" w:hAnsi="Times New Roman"/>
        </w:rPr>
      </w:pPr>
    </w:p>
    <w:p w:rsidR="00000000" w:rsidRDefault="00C812D6">
      <w:pPr>
        <w:spacing w:line="0" w:lineRule="atLeast"/>
        <w:rPr>
          <w:b/>
        </w:rPr>
      </w:pPr>
      <w:r>
        <w:rPr>
          <w:b/>
        </w:rPr>
        <w:t>Differentials</w:t>
      </w:r>
    </w:p>
    <w:p w:rsidR="00000000" w:rsidRDefault="00C812D6">
      <w:pPr>
        <w:spacing w:line="45" w:lineRule="exact"/>
        <w:rPr>
          <w:rFonts w:ascii="Times New Roman" w:eastAsia="Times New Roman" w:hAnsi="Times New Roman"/>
        </w:rPr>
      </w:pPr>
    </w:p>
    <w:p w:rsidR="00000000" w:rsidRDefault="00C812D6">
      <w:pPr>
        <w:spacing w:line="247" w:lineRule="auto"/>
        <w:ind w:firstLine="720"/>
        <w:jc w:val="both"/>
        <w:rPr>
          <w:sz w:val="19"/>
        </w:rPr>
      </w:pPr>
      <w:r>
        <w:rPr>
          <w:sz w:val="19"/>
        </w:rPr>
        <w:t>The differential diagnosis of achalasia includes gastroesophageal reflux di</w:t>
      </w:r>
      <w:r>
        <w:rPr>
          <w:sz w:val="19"/>
        </w:rPr>
        <w:t>sease (GERD), especially in patients with chest pain of a burning quality typical of heartburn, other esophageal motility disorders, and pseudoachalasia due to a malignancy. These were all considered for our patient, hence the need for a complete workup. H</w:t>
      </w:r>
      <w:r>
        <w:rPr>
          <w:sz w:val="19"/>
        </w:rPr>
        <w:t>ere we note the similarities and differences of these conditions:</w:t>
      </w:r>
    </w:p>
    <w:p w:rsidR="00000000" w:rsidRDefault="00C812D6">
      <w:pPr>
        <w:spacing w:line="41" w:lineRule="exact"/>
        <w:rPr>
          <w:rFonts w:ascii="Times New Roman" w:eastAsia="Times New Roman" w:hAnsi="Times New Roman"/>
        </w:rPr>
      </w:pPr>
    </w:p>
    <w:p w:rsidR="00000000" w:rsidRDefault="00C812D6">
      <w:pPr>
        <w:numPr>
          <w:ilvl w:val="0"/>
          <w:numId w:val="1"/>
        </w:numPr>
        <w:tabs>
          <w:tab w:val="left" w:pos="720"/>
        </w:tabs>
        <w:spacing w:line="236" w:lineRule="auto"/>
        <w:ind w:left="720" w:hanging="362"/>
        <w:jc w:val="both"/>
      </w:pPr>
      <w:r>
        <w:t xml:space="preserve">Gastroesophageal reflux disease </w:t>
      </w:r>
      <w:r>
        <w:t>– In patients with GERD, regurgitated food is typically sour tasting due to the presence of gastric acid. In contrast, in patients with achalasia, food and s</w:t>
      </w:r>
      <w:r>
        <w:t>aliva are regurgitated from the esophagus and are therefore bland. Esophageal manometry is diagnostic of achalasia. Unlike the incomplete LES relaxation and aperistalsis that characterize achalasia, patients with GERD often have nonspecific manometric find</w:t>
      </w:r>
      <w:r>
        <w:t>ings including ineffective esophageal motility and hypotensive LES.</w:t>
      </w:r>
    </w:p>
    <w:p w:rsidR="00000000" w:rsidRDefault="00C812D6">
      <w:pPr>
        <w:spacing w:line="55" w:lineRule="exact"/>
      </w:pPr>
    </w:p>
    <w:p w:rsidR="00000000" w:rsidRDefault="00C812D6">
      <w:pPr>
        <w:numPr>
          <w:ilvl w:val="0"/>
          <w:numId w:val="1"/>
        </w:numPr>
        <w:tabs>
          <w:tab w:val="left" w:pos="720"/>
        </w:tabs>
        <w:spacing w:line="250" w:lineRule="auto"/>
        <w:ind w:left="720" w:hanging="362"/>
        <w:jc w:val="both"/>
        <w:rPr>
          <w:sz w:val="19"/>
        </w:rPr>
      </w:pPr>
      <w:r>
        <w:rPr>
          <w:sz w:val="19"/>
        </w:rPr>
        <w:t xml:space="preserve">Pseudoachalasia </w:t>
      </w:r>
      <w:r>
        <w:rPr>
          <w:sz w:val="19"/>
        </w:rPr>
        <w:t>– Malignancy can cause pseudoachalasia either by invading the esophageal neural plexuses directly (eg, adenocarcinoma of the esophagogastric junction) or through the relea</w:t>
      </w:r>
      <w:r>
        <w:rPr>
          <w:sz w:val="19"/>
        </w:rPr>
        <w:t xml:space="preserve">se of uncharacterized humoral factors that disrupt esophageal function as part of a paraneoplastic syndrome. In addition to gastric carcinoma, other tumors that can produce the syndrome include cancer of the esophagus, carcinoma of the lung, lymphoma, and </w:t>
      </w:r>
      <w:r>
        <w:rPr>
          <w:sz w:val="19"/>
        </w:rPr>
        <w:t>pancreatic carcinoma. Patients with pseudoachalasia can have the same manometric findings as those with achalasia but can be differentiated by upper endoscopy and endoscopic ultrasound (EUS).</w:t>
      </w:r>
    </w:p>
    <w:p w:rsidR="00000000" w:rsidRDefault="00C812D6">
      <w:pPr>
        <w:tabs>
          <w:tab w:val="left" w:pos="720"/>
        </w:tabs>
        <w:spacing w:line="250" w:lineRule="auto"/>
        <w:ind w:left="720" w:hanging="362"/>
        <w:jc w:val="both"/>
        <w:rPr>
          <w:sz w:val="19"/>
        </w:rPr>
        <w:sectPr w:rsidR="00000000">
          <w:type w:val="continuous"/>
          <w:pgSz w:w="12240" w:h="15840"/>
          <w:pgMar w:top="1440" w:right="1440" w:bottom="140" w:left="1440" w:header="0" w:footer="0" w:gutter="0"/>
          <w:cols w:num="2" w:space="0" w:equalWidth="0">
            <w:col w:w="4320" w:space="720"/>
            <w:col w:w="4320"/>
          </w:cols>
          <w:docGrid w:linePitch="360"/>
        </w:sectPr>
      </w:pPr>
    </w:p>
    <w:p w:rsidR="00000000" w:rsidRDefault="00C812D6">
      <w:pPr>
        <w:spacing w:line="200" w:lineRule="exact"/>
        <w:rPr>
          <w:rFonts w:ascii="Times New Roman" w:eastAsia="Times New Roman" w:hAnsi="Times New Roman"/>
        </w:rPr>
      </w:pPr>
    </w:p>
    <w:p w:rsidR="00000000" w:rsidRDefault="00C812D6">
      <w:pPr>
        <w:spacing w:line="345" w:lineRule="exact"/>
        <w:rPr>
          <w:rFonts w:ascii="Times New Roman" w:eastAsia="Times New Roman" w:hAnsi="Times New Roman"/>
        </w:rPr>
      </w:pPr>
    </w:p>
    <w:p w:rsidR="00000000"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2</w:t>
      </w:r>
    </w:p>
    <w:p w:rsidR="00000000" w:rsidRDefault="00C812D6">
      <w:pPr>
        <w:spacing w:line="0" w:lineRule="atLeast"/>
        <w:ind w:left="9240"/>
        <w:rPr>
          <w:rFonts w:ascii="Times New Roman" w:eastAsia="Times New Roman" w:hAnsi="Times New Roman"/>
          <w:sz w:val="24"/>
        </w:rPr>
        <w:sectPr w:rsidR="00000000">
          <w:type w:val="continuous"/>
          <w:pgSz w:w="12240" w:h="15840"/>
          <w:pgMar w:top="1440" w:right="1440" w:bottom="140" w:left="1440" w:header="0" w:footer="0" w:gutter="0"/>
          <w:cols w:space="0" w:equalWidth="0">
            <w:col w:w="9360"/>
          </w:cols>
          <w:docGrid w:linePitch="360"/>
        </w:sectPr>
      </w:pPr>
    </w:p>
    <w:p w:rsidR="00000000" w:rsidRDefault="00C812D6">
      <w:pPr>
        <w:spacing w:line="16" w:lineRule="exact"/>
        <w:rPr>
          <w:rFonts w:ascii="Times New Roman" w:eastAsia="Times New Roman" w:hAnsi="Times New Roman"/>
        </w:rPr>
      </w:pPr>
      <w:bookmarkStart w:id="3" w:name="page3"/>
      <w:bookmarkEnd w:id="3"/>
    </w:p>
    <w:p w:rsidR="00000000" w:rsidRDefault="00C812D6">
      <w:pPr>
        <w:numPr>
          <w:ilvl w:val="0"/>
          <w:numId w:val="2"/>
        </w:numPr>
        <w:tabs>
          <w:tab w:val="left" w:pos="720"/>
        </w:tabs>
        <w:spacing w:line="235" w:lineRule="auto"/>
        <w:ind w:left="720" w:hanging="359"/>
        <w:jc w:val="both"/>
      </w:pPr>
      <w:r>
        <w:t xml:space="preserve">Other esophageal motility disorders </w:t>
      </w:r>
      <w:r>
        <w:t>– Patients with diffu</w:t>
      </w:r>
      <w:r>
        <w:t>se (distal) esophageal spasm and jackhammer esophagus may also present with dysphagia to solids and liquids. Esophageal manometry testing can distinguish achalasia from these esophageal motility disorders as LES relaxation (integrated relaxation pressure [</w:t>
      </w:r>
      <w:r>
        <w:t>IRP]) is normal in these conditions.</w:t>
      </w:r>
    </w:p>
    <w:p w:rsidR="00000000" w:rsidRDefault="00C812D6">
      <w:pPr>
        <w:spacing w:line="250" w:lineRule="exact"/>
        <w:rPr>
          <w:rFonts w:ascii="Times New Roman" w:eastAsia="Times New Roman" w:hAnsi="Times New Roman"/>
        </w:rPr>
      </w:pPr>
    </w:p>
    <w:p w:rsidR="00000000" w:rsidRDefault="00C812D6">
      <w:pPr>
        <w:spacing w:line="0" w:lineRule="atLeast"/>
        <w:rPr>
          <w:b/>
        </w:rPr>
      </w:pPr>
      <w:r>
        <w:rPr>
          <w:b/>
        </w:rPr>
        <w:t>Discussion</w:t>
      </w:r>
    </w:p>
    <w:p w:rsidR="00000000" w:rsidRDefault="00C812D6">
      <w:pPr>
        <w:spacing w:line="45" w:lineRule="exact"/>
        <w:rPr>
          <w:rFonts w:ascii="Times New Roman" w:eastAsia="Times New Roman" w:hAnsi="Times New Roman"/>
        </w:rPr>
      </w:pPr>
    </w:p>
    <w:p w:rsidR="00000000" w:rsidRDefault="00C812D6">
      <w:pPr>
        <w:spacing w:line="228" w:lineRule="auto"/>
        <w:ind w:firstLine="720"/>
        <w:jc w:val="both"/>
        <w:rPr>
          <w:sz w:val="26"/>
          <w:vertAlign w:val="superscript"/>
        </w:rPr>
      </w:pPr>
      <w:r>
        <w:t>Achalasia is a primary esophageal motility disorder characterized by the absence of esophageal peristalsis and impaired LES relaxation in response to swallowing. The LES is hypertensive in about 50% of pati</w:t>
      </w:r>
      <w:r>
        <w:t>ents. These abnormalities cause a functional obstruction at the gastroesophageal junction.</w:t>
      </w:r>
      <w:r>
        <w:rPr>
          <w:sz w:val="26"/>
          <w:vertAlign w:val="superscript"/>
        </w:rPr>
        <w:t>5</w:t>
      </w:r>
    </w:p>
    <w:p w:rsidR="00000000" w:rsidRDefault="00C812D6">
      <w:pPr>
        <w:spacing w:line="4" w:lineRule="exact"/>
        <w:rPr>
          <w:rFonts w:ascii="Times New Roman" w:eastAsia="Times New Roman" w:hAnsi="Times New Roman"/>
        </w:rPr>
      </w:pPr>
    </w:p>
    <w:p w:rsidR="00000000" w:rsidRDefault="00C812D6">
      <w:pPr>
        <w:spacing w:line="222" w:lineRule="auto"/>
        <w:ind w:firstLine="720"/>
        <w:jc w:val="both"/>
        <w:rPr>
          <w:sz w:val="26"/>
          <w:vertAlign w:val="superscript"/>
        </w:rPr>
      </w:pPr>
      <w:r>
        <w:t>The incidence of achalasia is approximately 1 per 100,000 people per year. In children, a retrospective study done from 1990 to 2013 from the Netherlands showed th</w:t>
      </w:r>
      <w:r>
        <w:t>at the mean incidence of achalasia was 0.1 per 100,000 people per year.</w:t>
      </w:r>
      <w:r>
        <w:rPr>
          <w:sz w:val="26"/>
          <w:vertAlign w:val="superscript"/>
        </w:rPr>
        <w:t>6</w:t>
      </w:r>
      <w:r>
        <w:t xml:space="preserve"> In the Philippines, only 10 cases have been reported in the Philippine Pediatric Society Registry from 2019 to 2021 and only 3 were reported in the past year.</w:t>
      </w:r>
      <w:r>
        <w:rPr>
          <w:sz w:val="26"/>
          <w:vertAlign w:val="superscript"/>
        </w:rPr>
        <w:t>3</w:t>
      </w:r>
    </w:p>
    <w:p w:rsidR="00000000" w:rsidRDefault="00C812D6">
      <w:pPr>
        <w:spacing w:line="8" w:lineRule="exact"/>
        <w:rPr>
          <w:rFonts w:ascii="Times New Roman" w:eastAsia="Times New Roman" w:hAnsi="Times New Roman"/>
        </w:rPr>
      </w:pPr>
    </w:p>
    <w:p w:rsidR="00000000" w:rsidRDefault="00C812D6">
      <w:pPr>
        <w:spacing w:line="244" w:lineRule="auto"/>
        <w:ind w:firstLine="720"/>
        <w:jc w:val="both"/>
        <w:rPr>
          <w:sz w:val="19"/>
        </w:rPr>
      </w:pPr>
      <w:r>
        <w:rPr>
          <w:sz w:val="19"/>
        </w:rPr>
        <w:t>The etiology of achala</w:t>
      </w:r>
      <w:r>
        <w:rPr>
          <w:sz w:val="19"/>
        </w:rPr>
        <w:t>sia is largely unknown, however, there is some evidence that achalasia is an autoimmune disease. A European study compared immune-related deoxyribonucleic acid (DNA) in persons with achalasia with that of controls and found</w:t>
      </w:r>
    </w:p>
    <w:p w:rsidR="00000000" w:rsidRDefault="00C812D6">
      <w:pPr>
        <w:spacing w:line="42" w:lineRule="exact"/>
        <w:rPr>
          <w:rFonts w:ascii="Times New Roman" w:eastAsia="Times New Roman" w:hAnsi="Times New Roman"/>
        </w:rPr>
      </w:pPr>
    </w:p>
    <w:p w:rsidR="00000000" w:rsidRDefault="00C812D6">
      <w:pPr>
        <w:numPr>
          <w:ilvl w:val="0"/>
          <w:numId w:val="3"/>
        </w:numPr>
        <w:tabs>
          <w:tab w:val="left" w:pos="520"/>
        </w:tabs>
        <w:spacing w:line="232" w:lineRule="auto"/>
        <w:ind w:firstLine="1"/>
        <w:jc w:val="both"/>
      </w:pPr>
      <w:r>
        <w:t>single-nucleotide polymorphisms</w:t>
      </w:r>
      <w:r>
        <w:t xml:space="preserve"> (SNPs) associated with achalasia. All of these were found in the major histocompatability complex region of chromosome 6, a location associated with autoimmune disorders such as multiple sclerosis,</w:t>
      </w:r>
    </w:p>
    <w:p w:rsidR="00000000" w:rsidRDefault="00C812D6">
      <w:pPr>
        <w:spacing w:line="215" w:lineRule="auto"/>
        <w:rPr>
          <w:sz w:val="26"/>
          <w:vertAlign w:val="superscript"/>
        </w:rPr>
      </w:pPr>
      <w:r>
        <w:t>lupus, and type 1 diabetes.</w:t>
      </w:r>
      <w:r>
        <w:rPr>
          <w:sz w:val="26"/>
          <w:vertAlign w:val="superscript"/>
        </w:rPr>
        <w:t>7</w:t>
      </w:r>
    </w:p>
    <w:p w:rsidR="00000000" w:rsidRDefault="00C812D6">
      <w:pPr>
        <w:spacing w:line="1" w:lineRule="exact"/>
      </w:pPr>
    </w:p>
    <w:p w:rsidR="00000000" w:rsidRDefault="00C812D6">
      <w:pPr>
        <w:spacing w:line="247" w:lineRule="auto"/>
        <w:ind w:firstLine="720"/>
        <w:jc w:val="both"/>
        <w:rPr>
          <w:sz w:val="19"/>
        </w:rPr>
      </w:pPr>
      <w:r>
        <w:rPr>
          <w:sz w:val="19"/>
        </w:rPr>
        <w:t xml:space="preserve">The pathophysiologic basis </w:t>
      </w:r>
      <w:r>
        <w:rPr>
          <w:sz w:val="19"/>
        </w:rPr>
        <w:t>of achalasia is characterized by the degeneration of the inhibitory myenteric plexus that innervates the lower esophageal sphincter (LES) and esophageal body. This leads to an imbalance in the inhibitory and excitatory neurons resulting in the failure of t</w:t>
      </w:r>
      <w:r>
        <w:rPr>
          <w:sz w:val="19"/>
        </w:rPr>
        <w:t>he LES to relax with swallowing, absence of peristalsis of the esophageal</w:t>
      </w:r>
    </w:p>
    <w:p w:rsidR="00000000" w:rsidRDefault="00C812D6">
      <w:pPr>
        <w:spacing w:line="32" w:lineRule="exact"/>
      </w:pPr>
    </w:p>
    <w:p w:rsidR="00000000" w:rsidRDefault="00C812D6">
      <w:pPr>
        <w:spacing w:line="193" w:lineRule="auto"/>
        <w:ind w:left="720" w:hanging="720"/>
      </w:pPr>
      <w:r>
        <w:t>body, and increased LES resting pressures.</w:t>
      </w:r>
      <w:r>
        <w:rPr>
          <w:sz w:val="26"/>
          <w:vertAlign w:val="superscript"/>
        </w:rPr>
        <w:t>8</w:t>
      </w:r>
      <w:r>
        <w:t xml:space="preserve"> Achalasia is characterized by progressive</w:t>
      </w:r>
    </w:p>
    <w:p w:rsidR="00000000" w:rsidRDefault="00C812D6">
      <w:pPr>
        <w:spacing w:line="45" w:lineRule="exact"/>
      </w:pPr>
    </w:p>
    <w:p w:rsidR="00000000" w:rsidRDefault="00C812D6">
      <w:pPr>
        <w:spacing w:line="244" w:lineRule="auto"/>
        <w:jc w:val="both"/>
        <w:rPr>
          <w:sz w:val="19"/>
        </w:rPr>
      </w:pPr>
      <w:r>
        <w:rPr>
          <w:sz w:val="19"/>
        </w:rPr>
        <w:t>dysphagia, regurgitation, chest pain, heart burn, and weight loss. In younger children and inf</w:t>
      </w:r>
      <w:r>
        <w:rPr>
          <w:sz w:val="19"/>
        </w:rPr>
        <w:t>ants, they may also present atypically with recurrent pneumonia, nocturnal cough, aspiration, hoarseness, and feeding difficulties. Physical examination is usually normal for</w:t>
      </w:r>
    </w:p>
    <w:p w:rsidR="00000000" w:rsidRDefault="00C812D6">
      <w:pPr>
        <w:spacing w:line="33" w:lineRule="exact"/>
      </w:pPr>
    </w:p>
    <w:p w:rsidR="00000000" w:rsidRDefault="00C812D6">
      <w:pPr>
        <w:spacing w:line="216" w:lineRule="auto"/>
        <w:jc w:val="both"/>
        <w:rPr>
          <w:sz w:val="19"/>
        </w:rPr>
      </w:pPr>
      <w:r>
        <w:rPr>
          <w:sz w:val="19"/>
        </w:rPr>
        <w:t>these patients.</w:t>
      </w:r>
      <w:r>
        <w:rPr>
          <w:sz w:val="25"/>
          <w:vertAlign w:val="superscript"/>
        </w:rPr>
        <w:t>8</w:t>
      </w:r>
      <w:r>
        <w:rPr>
          <w:sz w:val="19"/>
        </w:rPr>
        <w:t xml:space="preserve"> Diagnosis is suspected by the clinical history, but is often de</w:t>
      </w:r>
      <w:r>
        <w:rPr>
          <w:sz w:val="19"/>
        </w:rPr>
        <w:t>layed in children because of the rarity of the disease. Achalasia symptoms are often</w:t>
      </w:r>
    </w:p>
    <w:p w:rsidR="00000000" w:rsidRDefault="00C812D6">
      <w:pPr>
        <w:spacing w:line="16" w:lineRule="exact"/>
        <w:rPr>
          <w:rFonts w:ascii="Times New Roman" w:eastAsia="Times New Roman" w:hAnsi="Times New Roman"/>
        </w:rPr>
      </w:pPr>
      <w:r>
        <w:rPr>
          <w:sz w:val="19"/>
        </w:rPr>
        <w:br w:type="column"/>
      </w:r>
    </w:p>
    <w:p w:rsidR="00000000" w:rsidRDefault="00C812D6">
      <w:pPr>
        <w:spacing w:line="0" w:lineRule="atLeast"/>
        <w:jc w:val="both"/>
        <w:rPr>
          <w:sz w:val="19"/>
        </w:rPr>
      </w:pPr>
      <w:r>
        <w:rPr>
          <w:sz w:val="19"/>
        </w:rPr>
        <w:t>wrongly interpreted and contributed to GERD or an eating disorder, leading to delayed diagnosis and start of appropriate therapy. The Eckardt score was developed to obje</w:t>
      </w:r>
      <w:r>
        <w:rPr>
          <w:sz w:val="19"/>
        </w:rPr>
        <w:t>ctify achalasia symptoms and is the sum of symptom scores for dysphagia, regurgitation, chest pain, and weight loss.</w:t>
      </w:r>
      <w:r>
        <w:rPr>
          <w:sz w:val="25"/>
          <w:vertAlign w:val="superscript"/>
        </w:rPr>
        <w:t>2</w:t>
      </w:r>
      <w:r>
        <w:rPr>
          <w:sz w:val="19"/>
        </w:rPr>
        <w:t xml:space="preserve"> Each item is graded on a score of 0 to 3, with a maximum score of 12. Scores greater than or equal to 3 are considered suggestive of activ</w:t>
      </w:r>
      <w:r>
        <w:rPr>
          <w:sz w:val="19"/>
        </w:rPr>
        <w:t>e achalasia (Table 1).</w:t>
      </w:r>
      <w:r>
        <w:rPr>
          <w:sz w:val="25"/>
          <w:vertAlign w:val="superscript"/>
        </w:rPr>
        <w:t>9</w:t>
      </w:r>
      <w:r>
        <w:rPr>
          <w:sz w:val="19"/>
        </w:rPr>
        <w:t xml:space="preserve"> Symptoms alone, however, do not reliably diagnose the disease since there is an overlap of symptoms with other esophageal diseases, particularly gastroesophageal reflux disease. Furthermore, symptoms presence or severity does not co</w:t>
      </w:r>
      <w:r>
        <w:rPr>
          <w:sz w:val="19"/>
        </w:rPr>
        <w:t>rrelate with manometric findings, degree of esophageal dilatation, or prognosis. A complete workup is necessary in these patients, not only for the diagnosis but for prognosis and to establish the proper therapeutic approach.</w:t>
      </w:r>
      <w:r>
        <w:rPr>
          <w:sz w:val="25"/>
          <w:vertAlign w:val="superscript"/>
        </w:rPr>
        <w:t>10</w:t>
      </w:r>
      <w:r>
        <w:rPr>
          <w:sz w:val="19"/>
        </w:rPr>
        <w:t xml:space="preserve"> Our patient had a total Ecka</w:t>
      </w:r>
      <w:r>
        <w:rPr>
          <w:sz w:val="19"/>
        </w:rPr>
        <w:t>rdt score of 8 (weight loss &gt;10kg, daily dysphagia, occasional restrosternal pain, and daily regurgitation), which was indicative of active achalasia.</w:t>
      </w:r>
    </w:p>
    <w:p w:rsidR="00000000" w:rsidRDefault="00C812D6">
      <w:pPr>
        <w:spacing w:line="200" w:lineRule="exact"/>
        <w:rPr>
          <w:rFonts w:ascii="Times New Roman" w:eastAsia="Times New Roman" w:hAnsi="Times New Roman"/>
        </w:rPr>
      </w:pPr>
    </w:p>
    <w:p w:rsidR="00000000" w:rsidRDefault="00C812D6">
      <w:pPr>
        <w:spacing w:line="326" w:lineRule="exact"/>
        <w:rPr>
          <w:rFonts w:ascii="Times New Roman" w:eastAsia="Times New Roman" w:hAnsi="Times New Roman"/>
        </w:rPr>
      </w:pPr>
    </w:p>
    <w:p w:rsidR="00000000" w:rsidRDefault="00C812D6">
      <w:pPr>
        <w:spacing w:line="218" w:lineRule="auto"/>
        <w:jc w:val="both"/>
      </w:pPr>
      <w:r>
        <w:t>Table 1. Eckardt score for symptomatic evaluation in achalasia</w:t>
      </w:r>
    </w:p>
    <w:p w:rsidR="00000000" w:rsidRDefault="00C812D6">
      <w:pPr>
        <w:spacing w:line="1" w:lineRule="exact"/>
        <w:rPr>
          <w:rFonts w:ascii="Times New Roman" w:eastAsia="Times New Roman" w:hAnsi="Times New Roman"/>
        </w:rPr>
      </w:pPr>
    </w:p>
    <w:tbl>
      <w:tblPr>
        <w:tblW w:w="0" w:type="auto"/>
        <w:tblInd w:w="10" w:type="dxa"/>
        <w:tblLayout w:type="fixed"/>
        <w:tblCellMar>
          <w:top w:w="0" w:type="dxa"/>
          <w:left w:w="0" w:type="dxa"/>
          <w:bottom w:w="0" w:type="dxa"/>
          <w:right w:w="0" w:type="dxa"/>
        </w:tblCellMar>
        <w:tblLook w:val="0000" w:firstRow="0" w:lastRow="0" w:firstColumn="0" w:lastColumn="0" w:noHBand="0" w:noVBand="0"/>
      </w:tblPr>
      <w:tblGrid>
        <w:gridCol w:w="780"/>
        <w:gridCol w:w="800"/>
        <w:gridCol w:w="860"/>
        <w:gridCol w:w="920"/>
        <w:gridCol w:w="980"/>
      </w:tblGrid>
      <w:tr w:rsidR="00000000">
        <w:trPr>
          <w:trHeight w:val="164"/>
        </w:trPr>
        <w:tc>
          <w:tcPr>
            <w:tcW w:w="780" w:type="dxa"/>
            <w:tcBorders>
              <w:top w:val="single" w:sz="8" w:space="0" w:color="auto"/>
              <w:left w:val="single" w:sz="8" w:space="0" w:color="auto"/>
              <w:right w:val="single" w:sz="8" w:space="0" w:color="auto"/>
            </w:tcBorders>
            <w:shd w:val="clear" w:color="auto" w:fill="auto"/>
            <w:vAlign w:val="bottom"/>
          </w:tcPr>
          <w:p w:rsidR="00000000" w:rsidRDefault="00C812D6">
            <w:pPr>
              <w:spacing w:line="164" w:lineRule="exact"/>
              <w:jc w:val="center"/>
              <w:rPr>
                <w:sz w:val="14"/>
              </w:rPr>
            </w:pPr>
            <w:r>
              <w:rPr>
                <w:sz w:val="14"/>
              </w:rPr>
              <w:t>Score</w:t>
            </w:r>
          </w:p>
        </w:tc>
        <w:tc>
          <w:tcPr>
            <w:tcW w:w="800" w:type="dxa"/>
            <w:tcBorders>
              <w:top w:val="single" w:sz="8" w:space="0" w:color="auto"/>
              <w:right w:val="single" w:sz="8" w:space="0" w:color="auto"/>
            </w:tcBorders>
            <w:shd w:val="clear" w:color="auto" w:fill="auto"/>
            <w:vAlign w:val="bottom"/>
          </w:tcPr>
          <w:p w:rsidR="00000000" w:rsidRDefault="00C812D6">
            <w:pPr>
              <w:spacing w:line="164" w:lineRule="exact"/>
              <w:jc w:val="center"/>
              <w:rPr>
                <w:w w:val="96"/>
                <w:sz w:val="14"/>
              </w:rPr>
            </w:pPr>
            <w:r>
              <w:rPr>
                <w:w w:val="96"/>
                <w:sz w:val="14"/>
              </w:rPr>
              <w:t>Weight</w:t>
            </w:r>
          </w:p>
        </w:tc>
        <w:tc>
          <w:tcPr>
            <w:tcW w:w="860" w:type="dxa"/>
            <w:tcBorders>
              <w:top w:val="single" w:sz="8" w:space="0" w:color="auto"/>
              <w:right w:val="single" w:sz="8" w:space="0" w:color="auto"/>
            </w:tcBorders>
            <w:shd w:val="clear" w:color="auto" w:fill="auto"/>
            <w:vAlign w:val="bottom"/>
          </w:tcPr>
          <w:p w:rsidR="00000000" w:rsidRDefault="00C812D6">
            <w:pPr>
              <w:spacing w:line="164" w:lineRule="exact"/>
              <w:jc w:val="center"/>
              <w:rPr>
                <w:w w:val="99"/>
                <w:sz w:val="14"/>
              </w:rPr>
            </w:pPr>
            <w:r>
              <w:rPr>
                <w:w w:val="99"/>
                <w:sz w:val="14"/>
              </w:rPr>
              <w:t>Dysphagia</w:t>
            </w:r>
          </w:p>
        </w:tc>
        <w:tc>
          <w:tcPr>
            <w:tcW w:w="920" w:type="dxa"/>
            <w:tcBorders>
              <w:top w:val="single" w:sz="8" w:space="0" w:color="auto"/>
              <w:right w:val="single" w:sz="8" w:space="0" w:color="auto"/>
            </w:tcBorders>
            <w:shd w:val="clear" w:color="auto" w:fill="auto"/>
            <w:vAlign w:val="bottom"/>
          </w:tcPr>
          <w:p w:rsidR="00000000" w:rsidRDefault="00C812D6">
            <w:pPr>
              <w:spacing w:line="164" w:lineRule="exact"/>
              <w:jc w:val="center"/>
              <w:rPr>
                <w:sz w:val="14"/>
              </w:rPr>
            </w:pPr>
            <w:r>
              <w:rPr>
                <w:sz w:val="14"/>
              </w:rPr>
              <w:t>Retrosternal</w:t>
            </w:r>
          </w:p>
        </w:tc>
        <w:tc>
          <w:tcPr>
            <w:tcW w:w="980" w:type="dxa"/>
            <w:tcBorders>
              <w:top w:val="single" w:sz="8" w:space="0" w:color="auto"/>
              <w:right w:val="single" w:sz="8" w:space="0" w:color="auto"/>
            </w:tcBorders>
            <w:shd w:val="clear" w:color="auto" w:fill="auto"/>
            <w:vAlign w:val="bottom"/>
          </w:tcPr>
          <w:p w:rsidR="00000000" w:rsidRDefault="00C812D6">
            <w:pPr>
              <w:spacing w:line="164" w:lineRule="exact"/>
              <w:jc w:val="center"/>
              <w:rPr>
                <w:w w:val="98"/>
                <w:sz w:val="14"/>
              </w:rPr>
            </w:pPr>
            <w:r>
              <w:rPr>
                <w:w w:val="98"/>
                <w:sz w:val="14"/>
              </w:rPr>
              <w:t>Reg</w:t>
            </w:r>
            <w:r>
              <w:rPr>
                <w:w w:val="98"/>
                <w:sz w:val="14"/>
              </w:rPr>
              <w:t>urgitation</w:t>
            </w:r>
          </w:p>
        </w:tc>
      </w:tr>
      <w:tr w:rsidR="00000000">
        <w:trPr>
          <w:trHeight w:val="173"/>
        </w:trPr>
        <w:tc>
          <w:tcPr>
            <w:tcW w:w="780" w:type="dxa"/>
            <w:tcBorders>
              <w:left w:val="single" w:sz="8" w:space="0" w:color="auto"/>
              <w:bottom w:val="single" w:sz="8" w:space="0" w:color="auto"/>
              <w:right w:val="single" w:sz="8" w:space="0" w:color="auto"/>
            </w:tcBorders>
            <w:shd w:val="clear" w:color="auto" w:fill="auto"/>
            <w:vAlign w:val="bottom"/>
          </w:tcPr>
          <w:p w:rsidR="00000000" w:rsidRDefault="00C812D6">
            <w:pPr>
              <w:spacing w:line="0" w:lineRule="atLeast"/>
              <w:rPr>
                <w:rFonts w:ascii="Times New Roman" w:eastAsia="Times New Roman" w:hAnsi="Times New Roman"/>
                <w:sz w:val="15"/>
              </w:rPr>
            </w:pPr>
          </w:p>
        </w:tc>
        <w:tc>
          <w:tcPr>
            <w:tcW w:w="800" w:type="dxa"/>
            <w:tcBorders>
              <w:bottom w:val="single" w:sz="8" w:space="0" w:color="auto"/>
              <w:right w:val="single" w:sz="8" w:space="0" w:color="auto"/>
            </w:tcBorders>
            <w:shd w:val="clear" w:color="auto" w:fill="auto"/>
            <w:vAlign w:val="bottom"/>
          </w:tcPr>
          <w:p w:rsidR="00000000" w:rsidRDefault="00C812D6">
            <w:pPr>
              <w:spacing w:line="0" w:lineRule="atLeast"/>
              <w:jc w:val="center"/>
              <w:rPr>
                <w:w w:val="99"/>
                <w:sz w:val="14"/>
              </w:rPr>
            </w:pPr>
            <w:r>
              <w:rPr>
                <w:w w:val="99"/>
                <w:sz w:val="14"/>
              </w:rPr>
              <w:t>loss (kg)</w:t>
            </w:r>
          </w:p>
        </w:tc>
        <w:tc>
          <w:tcPr>
            <w:tcW w:w="860" w:type="dxa"/>
            <w:tcBorders>
              <w:bottom w:val="single" w:sz="8" w:space="0" w:color="auto"/>
              <w:right w:val="single" w:sz="8" w:space="0" w:color="auto"/>
            </w:tcBorders>
            <w:shd w:val="clear" w:color="auto" w:fill="auto"/>
            <w:vAlign w:val="bottom"/>
          </w:tcPr>
          <w:p w:rsidR="00000000" w:rsidRDefault="00C812D6">
            <w:pPr>
              <w:spacing w:line="0" w:lineRule="atLeast"/>
              <w:rPr>
                <w:rFonts w:ascii="Times New Roman" w:eastAsia="Times New Roman" w:hAnsi="Times New Roman"/>
                <w:sz w:val="15"/>
              </w:rPr>
            </w:pPr>
          </w:p>
        </w:tc>
        <w:tc>
          <w:tcPr>
            <w:tcW w:w="920" w:type="dxa"/>
            <w:tcBorders>
              <w:bottom w:val="single" w:sz="8" w:space="0" w:color="auto"/>
              <w:right w:val="single" w:sz="8" w:space="0" w:color="auto"/>
            </w:tcBorders>
            <w:shd w:val="clear" w:color="auto" w:fill="auto"/>
            <w:vAlign w:val="bottom"/>
          </w:tcPr>
          <w:p w:rsidR="00000000" w:rsidRDefault="00C812D6">
            <w:pPr>
              <w:spacing w:line="0" w:lineRule="atLeast"/>
              <w:jc w:val="center"/>
              <w:rPr>
                <w:w w:val="97"/>
                <w:sz w:val="14"/>
              </w:rPr>
            </w:pPr>
            <w:r>
              <w:rPr>
                <w:w w:val="97"/>
                <w:sz w:val="14"/>
              </w:rPr>
              <w:t>Pain</w:t>
            </w:r>
          </w:p>
        </w:tc>
        <w:tc>
          <w:tcPr>
            <w:tcW w:w="980" w:type="dxa"/>
            <w:tcBorders>
              <w:bottom w:val="single" w:sz="8" w:space="0" w:color="auto"/>
              <w:right w:val="single" w:sz="8" w:space="0" w:color="auto"/>
            </w:tcBorders>
            <w:shd w:val="clear" w:color="auto" w:fill="auto"/>
            <w:vAlign w:val="bottom"/>
          </w:tcPr>
          <w:p w:rsidR="00000000" w:rsidRDefault="00C812D6">
            <w:pPr>
              <w:spacing w:line="0" w:lineRule="atLeast"/>
              <w:rPr>
                <w:rFonts w:ascii="Times New Roman" w:eastAsia="Times New Roman" w:hAnsi="Times New Roman"/>
                <w:sz w:val="15"/>
              </w:rPr>
            </w:pPr>
          </w:p>
        </w:tc>
      </w:tr>
      <w:tr w:rsidR="00000000">
        <w:trPr>
          <w:trHeight w:val="163"/>
        </w:trPr>
        <w:tc>
          <w:tcPr>
            <w:tcW w:w="780" w:type="dxa"/>
            <w:tcBorders>
              <w:left w:val="single" w:sz="8" w:space="0" w:color="auto"/>
              <w:bottom w:val="single" w:sz="8" w:space="0" w:color="auto"/>
              <w:right w:val="single" w:sz="8" w:space="0" w:color="auto"/>
            </w:tcBorders>
            <w:shd w:val="clear" w:color="auto" w:fill="auto"/>
            <w:vAlign w:val="bottom"/>
          </w:tcPr>
          <w:p w:rsidR="00000000" w:rsidRDefault="00C812D6">
            <w:pPr>
              <w:spacing w:line="162" w:lineRule="exact"/>
              <w:jc w:val="center"/>
              <w:rPr>
                <w:sz w:val="14"/>
              </w:rPr>
            </w:pPr>
            <w:r>
              <w:rPr>
                <w:sz w:val="14"/>
              </w:rPr>
              <w:t>0</w:t>
            </w:r>
          </w:p>
        </w:tc>
        <w:tc>
          <w:tcPr>
            <w:tcW w:w="800" w:type="dxa"/>
            <w:tcBorders>
              <w:bottom w:val="single" w:sz="8" w:space="0" w:color="auto"/>
              <w:right w:val="single" w:sz="8" w:space="0" w:color="auto"/>
            </w:tcBorders>
            <w:shd w:val="clear" w:color="auto" w:fill="auto"/>
            <w:vAlign w:val="bottom"/>
          </w:tcPr>
          <w:p w:rsidR="00000000" w:rsidRDefault="00C812D6">
            <w:pPr>
              <w:spacing w:line="162" w:lineRule="exact"/>
              <w:jc w:val="center"/>
              <w:rPr>
                <w:sz w:val="14"/>
              </w:rPr>
            </w:pPr>
            <w:r>
              <w:rPr>
                <w:sz w:val="14"/>
              </w:rPr>
              <w:t>None</w:t>
            </w:r>
          </w:p>
        </w:tc>
        <w:tc>
          <w:tcPr>
            <w:tcW w:w="860" w:type="dxa"/>
            <w:tcBorders>
              <w:bottom w:val="single" w:sz="8" w:space="0" w:color="auto"/>
              <w:right w:val="single" w:sz="8" w:space="0" w:color="auto"/>
            </w:tcBorders>
            <w:shd w:val="clear" w:color="auto" w:fill="auto"/>
            <w:vAlign w:val="bottom"/>
          </w:tcPr>
          <w:p w:rsidR="00000000" w:rsidRDefault="00C812D6">
            <w:pPr>
              <w:spacing w:line="162" w:lineRule="exact"/>
              <w:jc w:val="center"/>
              <w:rPr>
                <w:w w:val="97"/>
                <w:sz w:val="14"/>
              </w:rPr>
            </w:pPr>
            <w:r>
              <w:rPr>
                <w:w w:val="97"/>
                <w:sz w:val="14"/>
              </w:rPr>
              <w:t>None</w:t>
            </w:r>
          </w:p>
        </w:tc>
        <w:tc>
          <w:tcPr>
            <w:tcW w:w="920" w:type="dxa"/>
            <w:tcBorders>
              <w:bottom w:val="single" w:sz="8" w:space="0" w:color="auto"/>
              <w:right w:val="single" w:sz="8" w:space="0" w:color="auto"/>
            </w:tcBorders>
            <w:shd w:val="clear" w:color="auto" w:fill="auto"/>
            <w:vAlign w:val="bottom"/>
          </w:tcPr>
          <w:p w:rsidR="00000000" w:rsidRDefault="00C812D6">
            <w:pPr>
              <w:spacing w:line="162" w:lineRule="exact"/>
              <w:jc w:val="center"/>
              <w:rPr>
                <w:sz w:val="14"/>
              </w:rPr>
            </w:pPr>
            <w:r>
              <w:rPr>
                <w:sz w:val="14"/>
              </w:rPr>
              <w:t>None</w:t>
            </w:r>
          </w:p>
        </w:tc>
        <w:tc>
          <w:tcPr>
            <w:tcW w:w="980" w:type="dxa"/>
            <w:tcBorders>
              <w:bottom w:val="single" w:sz="8" w:space="0" w:color="auto"/>
              <w:right w:val="single" w:sz="8" w:space="0" w:color="auto"/>
            </w:tcBorders>
            <w:shd w:val="clear" w:color="auto" w:fill="auto"/>
            <w:vAlign w:val="bottom"/>
          </w:tcPr>
          <w:p w:rsidR="00000000" w:rsidRDefault="00C812D6">
            <w:pPr>
              <w:spacing w:line="162" w:lineRule="exact"/>
              <w:jc w:val="center"/>
              <w:rPr>
                <w:w w:val="97"/>
                <w:sz w:val="14"/>
              </w:rPr>
            </w:pPr>
            <w:r>
              <w:rPr>
                <w:w w:val="97"/>
                <w:sz w:val="14"/>
              </w:rPr>
              <w:t>None</w:t>
            </w:r>
          </w:p>
        </w:tc>
      </w:tr>
      <w:tr w:rsidR="00000000">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000000" w:rsidRDefault="00C812D6">
            <w:pPr>
              <w:spacing w:line="159" w:lineRule="exact"/>
              <w:jc w:val="center"/>
              <w:rPr>
                <w:sz w:val="14"/>
              </w:rPr>
            </w:pPr>
            <w:r>
              <w:rPr>
                <w:sz w:val="14"/>
              </w:rPr>
              <w:t>1</w:t>
            </w:r>
          </w:p>
        </w:tc>
        <w:tc>
          <w:tcPr>
            <w:tcW w:w="80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&lt;5</w:t>
            </w:r>
          </w:p>
        </w:tc>
        <w:tc>
          <w:tcPr>
            <w:tcW w:w="860" w:type="dxa"/>
            <w:tcBorders>
              <w:bottom w:val="single" w:sz="8" w:space="0" w:color="auto"/>
              <w:right w:val="single" w:sz="8" w:space="0" w:color="auto"/>
            </w:tcBorders>
            <w:shd w:val="clear" w:color="auto" w:fill="auto"/>
            <w:vAlign w:val="bottom"/>
          </w:tcPr>
          <w:p w:rsidR="00000000" w:rsidRDefault="00C812D6">
            <w:pPr>
              <w:spacing w:line="159" w:lineRule="exact"/>
              <w:jc w:val="center"/>
              <w:rPr>
                <w:sz w:val="14"/>
              </w:rPr>
            </w:pPr>
            <w:r>
              <w:rPr>
                <w:sz w:val="14"/>
              </w:rPr>
              <w:t>Occasional</w:t>
            </w:r>
          </w:p>
        </w:tc>
        <w:tc>
          <w:tcPr>
            <w:tcW w:w="92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8"/>
                <w:sz w:val="14"/>
              </w:rPr>
            </w:pPr>
            <w:r>
              <w:rPr>
                <w:w w:val="98"/>
                <w:sz w:val="14"/>
              </w:rPr>
              <w:t>Occasional</w:t>
            </w:r>
          </w:p>
        </w:tc>
        <w:tc>
          <w:tcPr>
            <w:tcW w:w="980" w:type="dxa"/>
            <w:tcBorders>
              <w:bottom w:val="single" w:sz="8" w:space="0" w:color="auto"/>
              <w:right w:val="single" w:sz="8" w:space="0" w:color="auto"/>
            </w:tcBorders>
            <w:shd w:val="clear" w:color="auto" w:fill="auto"/>
            <w:vAlign w:val="bottom"/>
          </w:tcPr>
          <w:p w:rsidR="00000000" w:rsidRDefault="00C812D6">
            <w:pPr>
              <w:spacing w:line="159" w:lineRule="exact"/>
              <w:jc w:val="center"/>
              <w:rPr>
                <w:sz w:val="14"/>
              </w:rPr>
            </w:pPr>
            <w:r>
              <w:rPr>
                <w:sz w:val="14"/>
              </w:rPr>
              <w:t>Occasional</w:t>
            </w:r>
          </w:p>
        </w:tc>
      </w:tr>
      <w:tr w:rsidR="00000000">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000000" w:rsidRDefault="00C812D6">
            <w:pPr>
              <w:spacing w:line="159" w:lineRule="exact"/>
              <w:jc w:val="center"/>
              <w:rPr>
                <w:sz w:val="14"/>
              </w:rPr>
            </w:pPr>
            <w:r>
              <w:rPr>
                <w:sz w:val="14"/>
              </w:rPr>
              <w:t>2</w:t>
            </w:r>
          </w:p>
        </w:tc>
        <w:tc>
          <w:tcPr>
            <w:tcW w:w="80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3"/>
                <w:sz w:val="14"/>
              </w:rPr>
            </w:pPr>
            <w:r>
              <w:rPr>
                <w:w w:val="93"/>
                <w:sz w:val="14"/>
              </w:rPr>
              <w:t>5-10</w:t>
            </w:r>
          </w:p>
        </w:tc>
        <w:tc>
          <w:tcPr>
            <w:tcW w:w="86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Daily</w:t>
            </w:r>
          </w:p>
        </w:tc>
        <w:tc>
          <w:tcPr>
            <w:tcW w:w="92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Daily</w:t>
            </w:r>
          </w:p>
        </w:tc>
        <w:tc>
          <w:tcPr>
            <w:tcW w:w="98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Daily</w:t>
            </w:r>
          </w:p>
        </w:tc>
      </w:tr>
      <w:tr w:rsidR="00000000">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000000" w:rsidRDefault="00C812D6">
            <w:pPr>
              <w:spacing w:line="159" w:lineRule="exact"/>
              <w:jc w:val="center"/>
              <w:rPr>
                <w:sz w:val="14"/>
              </w:rPr>
            </w:pPr>
            <w:r>
              <w:rPr>
                <w:sz w:val="14"/>
              </w:rPr>
              <w:t>3</w:t>
            </w:r>
          </w:p>
        </w:tc>
        <w:tc>
          <w:tcPr>
            <w:tcW w:w="80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4"/>
                <w:sz w:val="14"/>
              </w:rPr>
            </w:pPr>
            <w:r>
              <w:rPr>
                <w:w w:val="94"/>
                <w:sz w:val="14"/>
              </w:rPr>
              <w:t>&gt;10</w:t>
            </w:r>
          </w:p>
        </w:tc>
        <w:tc>
          <w:tcPr>
            <w:tcW w:w="86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Each meal</w:t>
            </w:r>
          </w:p>
        </w:tc>
        <w:tc>
          <w:tcPr>
            <w:tcW w:w="92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Each meal</w:t>
            </w:r>
          </w:p>
        </w:tc>
        <w:tc>
          <w:tcPr>
            <w:tcW w:w="980" w:type="dxa"/>
            <w:tcBorders>
              <w:bottom w:val="single" w:sz="8" w:space="0" w:color="auto"/>
              <w:right w:val="single" w:sz="8" w:space="0" w:color="auto"/>
            </w:tcBorders>
            <w:shd w:val="clear" w:color="auto" w:fill="auto"/>
            <w:vAlign w:val="bottom"/>
          </w:tcPr>
          <w:p w:rsidR="00000000" w:rsidRDefault="00C812D6">
            <w:pPr>
              <w:spacing w:line="159" w:lineRule="exact"/>
              <w:jc w:val="center"/>
              <w:rPr>
                <w:w w:val="99"/>
                <w:sz w:val="14"/>
              </w:rPr>
            </w:pPr>
            <w:r>
              <w:rPr>
                <w:w w:val="99"/>
                <w:sz w:val="14"/>
              </w:rPr>
              <w:t>Each meal</w:t>
            </w:r>
          </w:p>
        </w:tc>
      </w:tr>
    </w:tbl>
    <w:p w:rsidR="00000000" w:rsidRDefault="00C812D6">
      <w:pPr>
        <w:spacing w:line="286" w:lineRule="exact"/>
        <w:rPr>
          <w:rFonts w:ascii="Times New Roman" w:eastAsia="Times New Roman" w:hAnsi="Times New Roman"/>
        </w:rPr>
      </w:pPr>
    </w:p>
    <w:p w:rsidR="00000000" w:rsidRDefault="00C812D6">
      <w:pPr>
        <w:spacing w:line="247" w:lineRule="auto"/>
        <w:ind w:firstLine="720"/>
        <w:jc w:val="both"/>
        <w:rPr>
          <w:sz w:val="19"/>
        </w:rPr>
      </w:pPr>
      <w:r>
        <w:rPr>
          <w:sz w:val="19"/>
        </w:rPr>
        <w:t>Esophageal manometry is required to establish the diagnosis. Diagnostic manometric findings of acha</w:t>
      </w:r>
      <w:r>
        <w:rPr>
          <w:sz w:val="19"/>
        </w:rPr>
        <w:t>lasia are incomplete relaxation of the lower esophageal sphincter and aperistalsis in the distal two-thirds of the esophagus. In patients with equivocal esophageal manometry results (eg, incomplete LES relaxation but some preserved peristalsis; some comple</w:t>
      </w:r>
      <w:r>
        <w:rPr>
          <w:sz w:val="19"/>
        </w:rPr>
        <w:t xml:space="preserve">te LES relaxation with aperistalsis), barium esophagram can help to assess esophageal emptying and esophagogastric junction morphology. Endoscopic evaluation with upper gastrointestinal endoscopy should be performed in patients with suspected achalasia to </w:t>
      </w:r>
      <w:r>
        <w:rPr>
          <w:sz w:val="19"/>
        </w:rPr>
        <w:t>exclude a malignancy at the esophagogastric junction that can mimic achalasia.</w:t>
      </w:r>
      <w:r>
        <w:rPr>
          <w:sz w:val="25"/>
          <w:vertAlign w:val="superscript"/>
        </w:rPr>
        <w:t>4</w:t>
      </w:r>
      <w:r>
        <w:rPr>
          <w:sz w:val="19"/>
        </w:rPr>
        <w:t xml:space="preserve"> Our patient underwent all these procedures, eventually leading to a diagnosis of achalasia. The patient</w:t>
      </w:r>
      <w:r>
        <w:rPr>
          <w:sz w:val="19"/>
        </w:rPr>
        <w:t>’s endoscopy was normal, ruling out pseudoachalasia from a malignancy. UG</w:t>
      </w:r>
      <w:r>
        <w:rPr>
          <w:sz w:val="19"/>
        </w:rPr>
        <w:t xml:space="preserve">IS with barium contrast showed the classic </w:t>
      </w:r>
      <w:r>
        <w:rPr>
          <w:sz w:val="19"/>
        </w:rPr>
        <w:t>“bird</w:t>
      </w:r>
      <w:r>
        <w:rPr>
          <w:sz w:val="19"/>
        </w:rPr>
        <w:t>’s beak</w:t>
      </w:r>
      <w:r>
        <w:rPr>
          <w:sz w:val="19"/>
        </w:rPr>
        <w:t>” sign indicative of achalasia, and the diagnosis was confirmed by manometry showing high resting LES pressure and absent esophageal peristalsis consistent</w:t>
      </w: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39" w:lineRule="exact"/>
        <w:rPr>
          <w:rFonts w:ascii="Times New Roman" w:eastAsia="Times New Roman" w:hAnsi="Times New Roman"/>
        </w:rPr>
      </w:pPr>
    </w:p>
    <w:p w:rsidR="00000000" w:rsidRDefault="00C812D6">
      <w:pPr>
        <w:spacing w:line="0" w:lineRule="atLeast"/>
        <w:ind w:left="4200"/>
        <w:rPr>
          <w:rFonts w:ascii="Times New Roman" w:eastAsia="Times New Roman" w:hAnsi="Times New Roman"/>
          <w:sz w:val="24"/>
        </w:rPr>
      </w:pPr>
      <w:r>
        <w:rPr>
          <w:rFonts w:ascii="Times New Roman" w:eastAsia="Times New Roman" w:hAnsi="Times New Roman"/>
          <w:sz w:val="24"/>
        </w:rPr>
        <w:t>3</w:t>
      </w:r>
    </w:p>
    <w:p w:rsidR="00000000" w:rsidRDefault="00C812D6">
      <w:pPr>
        <w:spacing w:line="0" w:lineRule="atLeast"/>
        <w:ind w:left="4200"/>
        <w:rPr>
          <w:rFonts w:ascii="Times New Roman" w:eastAsia="Times New Roman" w:hAnsi="Times New Roman"/>
          <w:sz w:val="24"/>
        </w:rPr>
        <w:sectPr w:rsidR="00000000">
          <w:pgSz w:w="12240" w:h="15840"/>
          <w:pgMar w:top="1440" w:right="1440" w:bottom="140" w:left="1440" w:header="0" w:footer="0" w:gutter="0"/>
          <w:cols w:num="2" w:space="0" w:equalWidth="0">
            <w:col w:w="4320" w:space="720"/>
            <w:col w:w="4320"/>
          </w:cols>
          <w:docGrid w:linePitch="360"/>
        </w:sectPr>
      </w:pPr>
    </w:p>
    <w:p w:rsidR="00000000" w:rsidRDefault="00C812D6">
      <w:pPr>
        <w:spacing w:line="0" w:lineRule="atLeast"/>
      </w:pPr>
      <w:bookmarkStart w:id="4" w:name="page4"/>
      <w:bookmarkEnd w:id="4"/>
      <w:r>
        <w:t>with achalasia.</w:t>
      </w:r>
    </w:p>
    <w:p w:rsidR="00000000" w:rsidRDefault="00C812D6">
      <w:pPr>
        <w:spacing w:line="45" w:lineRule="exact"/>
        <w:rPr>
          <w:rFonts w:ascii="Times New Roman" w:eastAsia="Times New Roman" w:hAnsi="Times New Roman"/>
        </w:rPr>
      </w:pPr>
    </w:p>
    <w:p w:rsidR="00000000" w:rsidRDefault="00C812D6">
      <w:pPr>
        <w:spacing w:line="231" w:lineRule="auto"/>
        <w:ind w:right="20" w:firstLine="720"/>
        <w:jc w:val="both"/>
        <w:rPr>
          <w:sz w:val="26"/>
          <w:vertAlign w:val="superscript"/>
        </w:rPr>
      </w:pPr>
      <w:r>
        <w:t>The diagnosis of achal</w:t>
      </w:r>
      <w:r>
        <w:t>asia always implies therapy. Goal of different therapies available for the treatment of achalasia is to reduce the LES pressure and improve bolus flow through the esophagogastric junction. Pharmacological treatment options, such as calcium channel blockers</w:t>
      </w:r>
      <w:r>
        <w:t xml:space="preserve"> or endoscopic botulinum toxin injections in the LES are rarely used in the pediatric population because of their short-term effectiveness and potential for calcium channel blockers of side effects such as headache and dizziness.</w:t>
      </w:r>
      <w:r>
        <w:rPr>
          <w:sz w:val="26"/>
          <w:vertAlign w:val="superscript"/>
        </w:rPr>
        <w:t>11</w:t>
      </w:r>
      <w:r>
        <w:t xml:space="preserve"> To date, pneumatic ballo</w:t>
      </w:r>
      <w:r>
        <w:t>on dilation and Heller</w:t>
      </w:r>
      <w:r>
        <w:t>’s myotomy are considered the most effective therapeutic options in children. These therapies mechanically reduce the LES pressure by destruction of LES muscle fibers, either by stretching or cutting the LES. Postoperative GERD is a f</w:t>
      </w:r>
      <w:r>
        <w:t>requently reported complication after Heller</w:t>
      </w:r>
      <w:r>
        <w:t>’s Myotomy, and therefore this procedure is most often combined with a partial fundoplication.</w:t>
      </w:r>
      <w:r>
        <w:rPr>
          <w:sz w:val="26"/>
          <w:vertAlign w:val="superscript"/>
        </w:rPr>
        <w:t>4</w:t>
      </w:r>
      <w:r>
        <w:t xml:space="preserve"> Our patient underwent Heller</w:t>
      </w:r>
      <w:r>
        <w:t>’s Myotomy with Dor (or Partial Anterior) Fundoplication. Symptom improvement is reporte</w:t>
      </w:r>
      <w:r>
        <w:t>d in an average of 83% of patients undergoing transabdominal Heller Myotomy, pointing to an expected favorable outcome for the patient.</w:t>
      </w:r>
      <w:r>
        <w:rPr>
          <w:sz w:val="26"/>
          <w:vertAlign w:val="superscript"/>
        </w:rPr>
        <w:t>13</w:t>
      </w:r>
    </w:p>
    <w:p w:rsidR="00000000" w:rsidRDefault="00C812D6">
      <w:pPr>
        <w:spacing w:line="11" w:lineRule="exact"/>
        <w:rPr>
          <w:rFonts w:ascii="Times New Roman" w:eastAsia="Times New Roman" w:hAnsi="Times New Roman"/>
        </w:rPr>
      </w:pPr>
    </w:p>
    <w:p w:rsidR="00000000" w:rsidRDefault="00C812D6">
      <w:pPr>
        <w:spacing w:line="244" w:lineRule="auto"/>
        <w:ind w:right="20" w:firstLine="720"/>
        <w:jc w:val="both"/>
        <w:rPr>
          <w:sz w:val="25"/>
          <w:vertAlign w:val="superscript"/>
        </w:rPr>
      </w:pPr>
      <w:r>
        <w:rPr>
          <w:sz w:val="19"/>
        </w:rPr>
        <w:t>Despite the effectiveness of currently available therapies for achalasia, 2</w:t>
      </w:r>
      <w:r>
        <w:rPr>
          <w:sz w:val="19"/>
        </w:rPr>
        <w:t xml:space="preserve">–5% of patients are noted to develop what </w:t>
      </w:r>
      <w:r>
        <w:rPr>
          <w:sz w:val="19"/>
        </w:rPr>
        <w:t xml:space="preserve">is called </w:t>
      </w:r>
      <w:r>
        <w:rPr>
          <w:sz w:val="19"/>
        </w:rPr>
        <w:t>“end-stage</w:t>
      </w:r>
      <w:r>
        <w:rPr>
          <w:sz w:val="19"/>
        </w:rPr>
        <w:t>” disease with a massively dilated esophagus and recurrent symptoms. In this group of patients, esophagectomy with reconstruction has been performed with reasonable outcomes. This is unlikely to occur in the pediatric age group, however</w:t>
      </w:r>
      <w:r>
        <w:rPr>
          <w:sz w:val="19"/>
        </w:rPr>
        <w:t>, may happen with long-term follow-up of patients treated as children.</w:t>
      </w:r>
      <w:r>
        <w:rPr>
          <w:sz w:val="25"/>
          <w:vertAlign w:val="superscript"/>
        </w:rPr>
        <w:t>1</w:t>
      </w:r>
    </w:p>
    <w:p w:rsidR="00000000" w:rsidRDefault="00C812D6">
      <w:pPr>
        <w:spacing w:line="4" w:lineRule="exact"/>
        <w:rPr>
          <w:rFonts w:ascii="Times New Roman" w:eastAsia="Times New Roman" w:hAnsi="Times New Roman"/>
        </w:rPr>
      </w:pPr>
    </w:p>
    <w:p w:rsidR="00000000" w:rsidRDefault="00C812D6">
      <w:pPr>
        <w:spacing w:line="229" w:lineRule="auto"/>
        <w:ind w:firstLine="720"/>
        <w:jc w:val="both"/>
        <w:rPr>
          <w:sz w:val="26"/>
          <w:vertAlign w:val="superscript"/>
        </w:rPr>
      </w:pPr>
      <w:r>
        <w:t>While existing therapies aim at palliation through destruction of the LES, future treatment might aim to preserve this while addressing the main issue of absence of the myenteric gang</w:t>
      </w:r>
      <w:r>
        <w:t>lion cells. There has been one case report of using steroids in achalasia to arrest the loss of ganglion cells. However, in most patients the cells are already gone at the time of diagnosis.</w:t>
      </w:r>
      <w:r>
        <w:rPr>
          <w:sz w:val="26"/>
          <w:vertAlign w:val="superscript"/>
        </w:rPr>
        <w:t>12</w:t>
      </w:r>
      <w:r>
        <w:t xml:space="preserve"> Stem cell-based treatments for achalasia may also hold promise </w:t>
      </w:r>
      <w:r>
        <w:t>in the future as research has shown the development of gut-differentiated neural cells.</w:t>
      </w:r>
      <w:r>
        <w:rPr>
          <w:sz w:val="26"/>
          <w:vertAlign w:val="superscript"/>
        </w:rPr>
        <w:t>14</w:t>
      </w:r>
    </w:p>
    <w:p w:rsidR="00000000" w:rsidRDefault="00C812D6">
      <w:pPr>
        <w:spacing w:line="185" w:lineRule="exact"/>
        <w:rPr>
          <w:rFonts w:ascii="Times New Roman" w:eastAsia="Times New Roman" w:hAnsi="Times New Roman"/>
        </w:rPr>
      </w:pPr>
    </w:p>
    <w:p w:rsidR="00000000" w:rsidRDefault="00C812D6">
      <w:pPr>
        <w:spacing w:line="0" w:lineRule="atLeast"/>
        <w:rPr>
          <w:b/>
        </w:rPr>
      </w:pPr>
      <w:r>
        <w:rPr>
          <w:b/>
        </w:rPr>
        <w:t>Conclusion</w:t>
      </w:r>
    </w:p>
    <w:p w:rsidR="00000000" w:rsidRDefault="00C812D6">
      <w:pPr>
        <w:spacing w:line="40" w:lineRule="exact"/>
        <w:rPr>
          <w:rFonts w:ascii="Times New Roman" w:eastAsia="Times New Roman" w:hAnsi="Times New Roman"/>
        </w:rPr>
      </w:pPr>
    </w:p>
    <w:p w:rsidR="00000000" w:rsidRDefault="00C812D6">
      <w:pPr>
        <w:spacing w:line="245" w:lineRule="auto"/>
        <w:ind w:right="20" w:firstLine="720"/>
        <w:jc w:val="both"/>
        <w:rPr>
          <w:sz w:val="19"/>
        </w:rPr>
      </w:pPr>
      <w:r>
        <w:rPr>
          <w:sz w:val="19"/>
        </w:rPr>
        <w:t>Achalasia is a rare condition affecting esophageal motility in children. In a manner similar to the disease found in the adult population, children exper</w:t>
      </w:r>
      <w:r>
        <w:rPr>
          <w:sz w:val="19"/>
        </w:rPr>
        <w:t>ience symptoms of dysphagia, regurgitation, and chest pain due to a failure of relaxation of the lower esophageal sphincter. Standard diagnostic</w:t>
      </w:r>
    </w:p>
    <w:p w:rsidR="00000000" w:rsidRDefault="00C812D6">
      <w:pPr>
        <w:spacing w:line="44" w:lineRule="exact"/>
        <w:rPr>
          <w:rFonts w:ascii="Times New Roman" w:eastAsia="Times New Roman" w:hAnsi="Times New Roman"/>
        </w:rPr>
      </w:pPr>
      <w:r>
        <w:rPr>
          <w:sz w:val="19"/>
        </w:rPr>
        <w:br w:type="column"/>
      </w:r>
    </w:p>
    <w:p w:rsidR="00000000" w:rsidRDefault="00C812D6">
      <w:pPr>
        <w:spacing w:line="243" w:lineRule="auto"/>
        <w:ind w:left="2"/>
        <w:jc w:val="both"/>
        <w:rPr>
          <w:sz w:val="19"/>
        </w:rPr>
      </w:pPr>
      <w:r>
        <w:rPr>
          <w:sz w:val="19"/>
        </w:rPr>
        <w:t>approaches include upper endoscopy and esophageal manometry. Achalasia therapy is aimed at improving esophage</w:t>
      </w:r>
      <w:r>
        <w:rPr>
          <w:sz w:val="19"/>
        </w:rPr>
        <w:t>al emptying by reducing lower esophageal sphincter tone either pharmacologically or surgically. However, there is currently no defined therapeutic algorithm for the pediatric population.</w:t>
      </w:r>
      <w:r>
        <w:rPr>
          <w:sz w:val="25"/>
          <w:vertAlign w:val="superscript"/>
        </w:rPr>
        <w:t>15</w:t>
      </w:r>
      <w:r>
        <w:rPr>
          <w:sz w:val="19"/>
        </w:rPr>
        <w:t xml:space="preserve"> Guidelines for pediatric achalasia rely upon a combination of data </w:t>
      </w:r>
      <w:r>
        <w:rPr>
          <w:sz w:val="19"/>
        </w:rPr>
        <w:t>obtained from studies in adults and expert opinion. Hence, there is a need for well-designed intervention trials in children with achalasia to determine optimal management and facilitate evidence-based clinical guideline development.</w:t>
      </w:r>
    </w:p>
    <w:p w:rsidR="00000000" w:rsidRDefault="00C812D6">
      <w:pPr>
        <w:spacing w:line="240" w:lineRule="exact"/>
        <w:rPr>
          <w:rFonts w:ascii="Times New Roman" w:eastAsia="Times New Roman" w:hAnsi="Times New Roman"/>
        </w:rPr>
      </w:pPr>
    </w:p>
    <w:p w:rsidR="00000000" w:rsidRDefault="00C812D6">
      <w:pPr>
        <w:spacing w:line="0" w:lineRule="atLeast"/>
        <w:ind w:left="2"/>
        <w:rPr>
          <w:b/>
        </w:rPr>
      </w:pPr>
      <w:r>
        <w:rPr>
          <w:b/>
        </w:rPr>
        <w:t>References</w:t>
      </w:r>
    </w:p>
    <w:p w:rsidR="00000000" w:rsidRDefault="00C812D6">
      <w:pPr>
        <w:spacing w:line="35" w:lineRule="exact"/>
        <w:rPr>
          <w:rFonts w:ascii="Times New Roman" w:eastAsia="Times New Roman" w:hAnsi="Times New Roman"/>
        </w:rPr>
      </w:pPr>
    </w:p>
    <w:p w:rsidR="00000000" w:rsidRDefault="00C812D6">
      <w:pPr>
        <w:numPr>
          <w:ilvl w:val="0"/>
          <w:numId w:val="4"/>
        </w:numPr>
        <w:tabs>
          <w:tab w:val="left" w:pos="362"/>
        </w:tabs>
        <w:spacing w:line="225" w:lineRule="auto"/>
        <w:ind w:left="362" w:right="300" w:hanging="362"/>
        <w:rPr>
          <w:sz w:val="16"/>
        </w:rPr>
      </w:pPr>
      <w:r>
        <w:rPr>
          <w:sz w:val="16"/>
        </w:rPr>
        <w:t>Islam, S.</w:t>
      </w:r>
      <w:r>
        <w:rPr>
          <w:sz w:val="16"/>
        </w:rPr>
        <w:t xml:space="preserve"> (2017). Achalasia. </w:t>
      </w:r>
      <w:r>
        <w:rPr>
          <w:i/>
          <w:sz w:val="16"/>
        </w:rPr>
        <w:t>Seminars in Pediatric Surgery,</w:t>
      </w:r>
      <w:r>
        <w:rPr>
          <w:sz w:val="16"/>
        </w:rPr>
        <w:t xml:space="preserve"> </w:t>
      </w:r>
      <w:r>
        <w:rPr>
          <w:i/>
          <w:sz w:val="16"/>
        </w:rPr>
        <w:t>26</w:t>
      </w:r>
      <w:r>
        <w:rPr>
          <w:sz w:val="16"/>
        </w:rPr>
        <w:t>(2), 116</w:t>
      </w:r>
      <w:r>
        <w:rPr>
          <w:sz w:val="16"/>
        </w:rPr>
        <w:t>–120.</w:t>
      </w:r>
      <w:r>
        <w:rPr>
          <w:i/>
          <w:sz w:val="16"/>
        </w:rPr>
        <w:t xml:space="preserve"> </w:t>
      </w:r>
      <w:r>
        <w:rPr>
          <w:sz w:val="16"/>
        </w:rPr>
        <w:t>https://doi.org/10.1053/j.sempedsurg.2017.02.001</w:t>
      </w:r>
    </w:p>
    <w:p w:rsidR="00000000" w:rsidRDefault="00C812D6">
      <w:pPr>
        <w:spacing w:line="36" w:lineRule="exact"/>
        <w:rPr>
          <w:sz w:val="16"/>
        </w:rPr>
      </w:pPr>
    </w:p>
    <w:p w:rsidR="00000000" w:rsidRDefault="00C812D6">
      <w:pPr>
        <w:numPr>
          <w:ilvl w:val="0"/>
          <w:numId w:val="4"/>
        </w:numPr>
        <w:tabs>
          <w:tab w:val="left" w:pos="362"/>
        </w:tabs>
        <w:spacing w:line="232" w:lineRule="auto"/>
        <w:ind w:left="362" w:right="140" w:hanging="362"/>
        <w:rPr>
          <w:sz w:val="16"/>
        </w:rPr>
      </w:pPr>
      <w:r>
        <w:rPr>
          <w:sz w:val="16"/>
        </w:rPr>
        <w:t>Van Lennep, M., Van Wijk, M. P., Omari, T. I. M., Benninga, M. A., &amp; Singendonk, M. M. J. (2018). Clinical management of pediatric achalasi</w:t>
      </w:r>
      <w:r>
        <w:rPr>
          <w:sz w:val="16"/>
        </w:rPr>
        <w:t xml:space="preserve">a. </w:t>
      </w:r>
      <w:r>
        <w:rPr>
          <w:i/>
          <w:sz w:val="16"/>
        </w:rPr>
        <w:t>Expert Review of Gastroenterology &amp;</w:t>
      </w:r>
      <w:r>
        <w:rPr>
          <w:sz w:val="16"/>
        </w:rPr>
        <w:t xml:space="preserve"> </w:t>
      </w:r>
      <w:r>
        <w:rPr>
          <w:i/>
          <w:sz w:val="16"/>
        </w:rPr>
        <w:t>Hepatology</w:t>
      </w:r>
      <w:r>
        <w:rPr>
          <w:sz w:val="16"/>
        </w:rPr>
        <w:t>,</w:t>
      </w:r>
      <w:r>
        <w:rPr>
          <w:i/>
          <w:sz w:val="16"/>
        </w:rPr>
        <w:t xml:space="preserve"> 12</w:t>
      </w:r>
      <w:r>
        <w:rPr>
          <w:sz w:val="16"/>
        </w:rPr>
        <w:t>(4), 391</w:t>
      </w:r>
      <w:r>
        <w:rPr>
          <w:sz w:val="16"/>
        </w:rPr>
        <w:t>–404.</w:t>
      </w:r>
      <w:r>
        <w:rPr>
          <w:i/>
          <w:sz w:val="16"/>
        </w:rPr>
        <w:t xml:space="preserve"> </w:t>
      </w:r>
      <w:r>
        <w:rPr>
          <w:sz w:val="16"/>
        </w:rPr>
        <w:t>https://doi.org/10.1080/17474124.2018.1441023</w:t>
      </w:r>
    </w:p>
    <w:p w:rsidR="00000000" w:rsidRDefault="00C812D6">
      <w:pPr>
        <w:spacing w:line="35" w:lineRule="exact"/>
        <w:rPr>
          <w:sz w:val="16"/>
        </w:rPr>
      </w:pPr>
    </w:p>
    <w:p w:rsidR="00000000" w:rsidRDefault="00C812D6">
      <w:pPr>
        <w:numPr>
          <w:ilvl w:val="0"/>
          <w:numId w:val="4"/>
        </w:numPr>
        <w:tabs>
          <w:tab w:val="left" w:pos="362"/>
        </w:tabs>
        <w:spacing w:line="232" w:lineRule="auto"/>
        <w:ind w:left="362" w:right="420" w:hanging="362"/>
        <w:rPr>
          <w:sz w:val="15"/>
        </w:rPr>
      </w:pPr>
      <w:r>
        <w:rPr>
          <w:i/>
          <w:sz w:val="15"/>
        </w:rPr>
        <w:t>Pediatrics Disease Registry Program</w:t>
      </w:r>
      <w:r>
        <w:rPr>
          <w:sz w:val="15"/>
        </w:rPr>
        <w:t>. (2021). Philippine</w:t>
      </w:r>
      <w:r>
        <w:rPr>
          <w:i/>
          <w:sz w:val="15"/>
        </w:rPr>
        <w:t xml:space="preserve"> </w:t>
      </w:r>
      <w:r>
        <w:rPr>
          <w:sz w:val="15"/>
        </w:rPr>
        <w:t>Pediatric Society. https://pps.ivant.com/search.do</w:t>
      </w:r>
    </w:p>
    <w:p w:rsidR="00000000" w:rsidRDefault="00C812D6">
      <w:pPr>
        <w:spacing w:line="35" w:lineRule="exact"/>
        <w:rPr>
          <w:sz w:val="15"/>
        </w:rPr>
      </w:pPr>
    </w:p>
    <w:p w:rsidR="00000000" w:rsidRDefault="00C812D6">
      <w:pPr>
        <w:numPr>
          <w:ilvl w:val="0"/>
          <w:numId w:val="4"/>
        </w:numPr>
        <w:tabs>
          <w:tab w:val="left" w:pos="362"/>
        </w:tabs>
        <w:spacing w:line="228" w:lineRule="auto"/>
        <w:ind w:left="362" w:right="440" w:hanging="362"/>
        <w:rPr>
          <w:sz w:val="16"/>
        </w:rPr>
      </w:pPr>
      <w:r>
        <w:rPr>
          <w:sz w:val="16"/>
        </w:rPr>
        <w:t>Tashiro, J., Petrosyan, M., &amp; Kane</w:t>
      </w:r>
      <w:r>
        <w:rPr>
          <w:sz w:val="16"/>
        </w:rPr>
        <w:t xml:space="preserve">, T. D. (2021). Current management of pediatric achalasia. </w:t>
      </w:r>
      <w:r>
        <w:rPr>
          <w:i/>
          <w:sz w:val="16"/>
        </w:rPr>
        <w:t>Translational</w:t>
      </w:r>
      <w:r>
        <w:rPr>
          <w:sz w:val="16"/>
        </w:rPr>
        <w:t xml:space="preserve"> </w:t>
      </w:r>
      <w:r>
        <w:rPr>
          <w:i/>
          <w:sz w:val="16"/>
        </w:rPr>
        <w:t>Gastroenterology and Hepatology</w:t>
      </w:r>
      <w:r>
        <w:rPr>
          <w:sz w:val="16"/>
        </w:rPr>
        <w:t>,</w:t>
      </w:r>
      <w:r>
        <w:rPr>
          <w:i/>
          <w:sz w:val="16"/>
        </w:rPr>
        <w:t xml:space="preserve"> 6</w:t>
      </w:r>
      <w:r>
        <w:rPr>
          <w:sz w:val="16"/>
        </w:rPr>
        <w:t>, 33.</w:t>
      </w:r>
      <w:r>
        <w:rPr>
          <w:i/>
          <w:sz w:val="16"/>
        </w:rPr>
        <w:t xml:space="preserve"> </w:t>
      </w:r>
      <w:r>
        <w:rPr>
          <w:sz w:val="16"/>
        </w:rPr>
        <w:t>https://doi.org/10.21037/tgh-20-215</w:t>
      </w:r>
    </w:p>
    <w:p w:rsidR="00000000" w:rsidRDefault="00C812D6">
      <w:pPr>
        <w:spacing w:line="38" w:lineRule="exact"/>
        <w:rPr>
          <w:sz w:val="16"/>
        </w:rPr>
      </w:pPr>
    </w:p>
    <w:p w:rsidR="00000000" w:rsidRDefault="00C812D6">
      <w:pPr>
        <w:numPr>
          <w:ilvl w:val="0"/>
          <w:numId w:val="4"/>
        </w:numPr>
        <w:tabs>
          <w:tab w:val="left" w:pos="362"/>
        </w:tabs>
        <w:spacing w:line="225" w:lineRule="auto"/>
        <w:ind w:left="362" w:right="120" w:hanging="362"/>
        <w:rPr>
          <w:sz w:val="16"/>
        </w:rPr>
      </w:pPr>
      <w:r>
        <w:rPr>
          <w:sz w:val="16"/>
        </w:rPr>
        <w:t xml:space="preserve">Gyawali, C. P. (2015). Achalasia: new perspectives on an old disease. </w:t>
      </w:r>
      <w:r>
        <w:rPr>
          <w:i/>
          <w:sz w:val="16"/>
        </w:rPr>
        <w:t>Neurogastroenterology &amp; Motility, 28</w:t>
      </w:r>
      <w:r>
        <w:rPr>
          <w:sz w:val="16"/>
        </w:rPr>
        <w:t>(1), 4</w:t>
      </w:r>
      <w:r>
        <w:rPr>
          <w:sz w:val="16"/>
        </w:rPr>
        <w:t>–11. https://doi.org/10.1111/nmo.12750</w:t>
      </w:r>
    </w:p>
    <w:p w:rsidR="00000000" w:rsidRDefault="00C812D6">
      <w:pPr>
        <w:spacing w:line="35" w:lineRule="exact"/>
        <w:rPr>
          <w:sz w:val="16"/>
        </w:rPr>
      </w:pPr>
    </w:p>
    <w:p w:rsidR="00000000" w:rsidRDefault="00C812D6">
      <w:pPr>
        <w:numPr>
          <w:ilvl w:val="0"/>
          <w:numId w:val="4"/>
        </w:numPr>
        <w:tabs>
          <w:tab w:val="left" w:pos="362"/>
        </w:tabs>
        <w:spacing w:line="234" w:lineRule="auto"/>
        <w:ind w:left="362" w:right="80" w:hanging="362"/>
        <w:rPr>
          <w:sz w:val="16"/>
        </w:rPr>
      </w:pPr>
      <w:r>
        <w:rPr>
          <w:sz w:val="16"/>
        </w:rPr>
        <w:t>Smits, M., Van Lennep, M., Vrijlandt, R., Benninga, M., Oors, J., Houwen, R., Kokke, F., Van der Zee, D., Escher, J., Van den Neucker, A., de Meij, T., Bodewes, F., Schweizer, J., Damen, G., Busch, O., &amp; van Wi</w:t>
      </w:r>
      <w:r>
        <w:rPr>
          <w:sz w:val="16"/>
        </w:rPr>
        <w:t xml:space="preserve">jk, M. (2016). Pediatric Achalasia in the Netherlands: Incidence, Clinical Course, and Quality of Life. </w:t>
      </w:r>
      <w:r>
        <w:rPr>
          <w:i/>
          <w:sz w:val="16"/>
        </w:rPr>
        <w:t>The Journal of Pediatrics, 169</w:t>
      </w:r>
      <w:r>
        <w:rPr>
          <w:sz w:val="16"/>
        </w:rPr>
        <w:t>, 110</w:t>
      </w:r>
      <w:r>
        <w:rPr>
          <w:sz w:val="16"/>
        </w:rPr>
        <w:t>–115.e3. https://doi.org/10.1016/j.jpeds.2015.10.057</w:t>
      </w:r>
    </w:p>
    <w:p w:rsidR="00000000" w:rsidRDefault="00C812D6">
      <w:pPr>
        <w:spacing w:line="37" w:lineRule="exact"/>
        <w:rPr>
          <w:sz w:val="16"/>
        </w:rPr>
      </w:pPr>
    </w:p>
    <w:p w:rsidR="00000000" w:rsidRDefault="00C812D6">
      <w:pPr>
        <w:numPr>
          <w:ilvl w:val="0"/>
          <w:numId w:val="4"/>
        </w:numPr>
        <w:tabs>
          <w:tab w:val="left" w:pos="362"/>
        </w:tabs>
        <w:spacing w:line="250" w:lineRule="auto"/>
        <w:ind w:left="362" w:right="60" w:hanging="362"/>
        <w:rPr>
          <w:sz w:val="15"/>
        </w:rPr>
      </w:pPr>
      <w:r>
        <w:rPr>
          <w:sz w:val="15"/>
        </w:rPr>
        <w:t xml:space="preserve">Gockel, I., Becker, J., Wouters, M., Niebisch, S., Gockel, H., </w:t>
      </w:r>
      <w:r>
        <w:rPr>
          <w:sz w:val="15"/>
        </w:rPr>
        <w:t>Hess, T., Ramonet, D., Zimmermann, J., Vigo, A. G., Trynka, G., De Leon, A., De la Serna, J., Urcelay, E., Kumar, V., Franke, L., Westra, H., Drescher, D., Kneist, W., Marquardt, J. U., Schumacher, J. (2014). Common variants in the HLA-DQ region confer sus</w:t>
      </w:r>
      <w:r>
        <w:rPr>
          <w:sz w:val="15"/>
        </w:rPr>
        <w:t xml:space="preserve">ceptibility to idiopathic achalasia. </w:t>
      </w:r>
      <w:r>
        <w:rPr>
          <w:i/>
          <w:sz w:val="15"/>
        </w:rPr>
        <w:t>Nature</w:t>
      </w:r>
      <w:r>
        <w:rPr>
          <w:sz w:val="15"/>
        </w:rPr>
        <w:t xml:space="preserve"> </w:t>
      </w:r>
      <w:r>
        <w:rPr>
          <w:i/>
          <w:sz w:val="15"/>
        </w:rPr>
        <w:t>Genetics, 46</w:t>
      </w:r>
      <w:r>
        <w:rPr>
          <w:sz w:val="15"/>
        </w:rPr>
        <w:t>(8), 901</w:t>
      </w:r>
      <w:r>
        <w:rPr>
          <w:sz w:val="15"/>
        </w:rPr>
        <w:t>–904. https://doi.org/10.1038/ng.3029</w:t>
      </w:r>
    </w:p>
    <w:p w:rsidR="00000000" w:rsidRDefault="00C812D6">
      <w:pPr>
        <w:spacing w:line="30" w:lineRule="exact"/>
        <w:rPr>
          <w:sz w:val="15"/>
        </w:rPr>
      </w:pPr>
    </w:p>
    <w:p w:rsidR="00000000" w:rsidRDefault="00C812D6">
      <w:pPr>
        <w:numPr>
          <w:ilvl w:val="0"/>
          <w:numId w:val="4"/>
        </w:numPr>
        <w:tabs>
          <w:tab w:val="left" w:pos="362"/>
        </w:tabs>
        <w:spacing w:line="245" w:lineRule="auto"/>
        <w:ind w:left="362" w:right="60" w:hanging="362"/>
        <w:rPr>
          <w:sz w:val="15"/>
        </w:rPr>
      </w:pPr>
      <w:r>
        <w:rPr>
          <w:sz w:val="15"/>
        </w:rPr>
        <w:t xml:space="preserve">Franklin, A. L. (2014). Childhood achalasia: A comprehensive review of disease, diagnosis and therapeutic management. </w:t>
      </w:r>
      <w:r>
        <w:rPr>
          <w:i/>
          <w:sz w:val="15"/>
        </w:rPr>
        <w:t>World Journal of Gastrointestinal E</w:t>
      </w:r>
      <w:r>
        <w:rPr>
          <w:i/>
          <w:sz w:val="15"/>
        </w:rPr>
        <w:t>ndoscopy, 6</w:t>
      </w:r>
      <w:r>
        <w:rPr>
          <w:sz w:val="15"/>
        </w:rPr>
        <w:t>(4), 105.</w:t>
      </w:r>
      <w:r>
        <w:rPr>
          <w:i/>
          <w:sz w:val="15"/>
        </w:rPr>
        <w:t xml:space="preserve"> </w:t>
      </w:r>
      <w:r>
        <w:rPr>
          <w:sz w:val="15"/>
        </w:rPr>
        <w:t>https://doi.org/10.4253/wjge.v6.i4.105</w:t>
      </w:r>
    </w:p>
    <w:p w:rsidR="00000000" w:rsidRDefault="00C812D6">
      <w:pPr>
        <w:spacing w:line="32" w:lineRule="exact"/>
        <w:rPr>
          <w:sz w:val="15"/>
        </w:rPr>
      </w:pPr>
    </w:p>
    <w:p w:rsidR="00000000" w:rsidRDefault="00C812D6">
      <w:pPr>
        <w:numPr>
          <w:ilvl w:val="0"/>
          <w:numId w:val="4"/>
        </w:numPr>
        <w:tabs>
          <w:tab w:val="left" w:pos="362"/>
        </w:tabs>
        <w:spacing w:line="233" w:lineRule="auto"/>
        <w:ind w:left="362" w:right="140" w:hanging="362"/>
        <w:rPr>
          <w:sz w:val="16"/>
        </w:rPr>
      </w:pPr>
      <w:r>
        <w:rPr>
          <w:sz w:val="16"/>
        </w:rPr>
        <w:t>Taft, T., Carlson, D., Triggs, J., Craft, J., Starkey, K., Yadlapati, R., Gregory, D., &amp; Pandolfino, J. (2018). Evaluating the reliability and construct validity of the Eckardt symptom score as a</w:t>
      </w:r>
      <w:r>
        <w:rPr>
          <w:sz w:val="16"/>
        </w:rPr>
        <w:t xml:space="preserve"> measure of achalasia severity. </w:t>
      </w:r>
      <w:r>
        <w:rPr>
          <w:i/>
          <w:sz w:val="16"/>
        </w:rPr>
        <w:t>Neurogastroenterology &amp; Motility, 30</w:t>
      </w:r>
      <w:r>
        <w:rPr>
          <w:sz w:val="16"/>
        </w:rPr>
        <w:t>(6), e13287.</w:t>
      </w:r>
      <w:r>
        <w:rPr>
          <w:i/>
          <w:sz w:val="16"/>
        </w:rPr>
        <w:t xml:space="preserve"> </w:t>
      </w:r>
      <w:r>
        <w:rPr>
          <w:sz w:val="16"/>
        </w:rPr>
        <w:t>https://doi.org/10.1111/nmo.13287</w:t>
      </w:r>
    </w:p>
    <w:p w:rsidR="00000000" w:rsidRDefault="00C812D6">
      <w:pPr>
        <w:spacing w:line="37" w:lineRule="exact"/>
        <w:rPr>
          <w:sz w:val="16"/>
        </w:rPr>
      </w:pPr>
    </w:p>
    <w:p w:rsidR="00000000" w:rsidRDefault="00C812D6">
      <w:pPr>
        <w:numPr>
          <w:ilvl w:val="0"/>
          <w:numId w:val="4"/>
        </w:numPr>
        <w:tabs>
          <w:tab w:val="left" w:pos="362"/>
        </w:tabs>
        <w:spacing w:line="231" w:lineRule="auto"/>
        <w:ind w:left="362" w:right="60" w:hanging="362"/>
        <w:rPr>
          <w:sz w:val="16"/>
        </w:rPr>
      </w:pPr>
      <w:r>
        <w:rPr>
          <w:sz w:val="16"/>
        </w:rPr>
        <w:t>Laurino-neto, R., Herbella, F., Scholttmann, F., &amp; Patti, M. (2018). Evaluation of esophageal achalasia: From symptoms to the Chicago classi</w:t>
      </w:r>
      <w:r>
        <w:rPr>
          <w:sz w:val="16"/>
        </w:rPr>
        <w:t xml:space="preserve">fication. </w:t>
      </w:r>
      <w:r>
        <w:rPr>
          <w:i/>
          <w:sz w:val="16"/>
        </w:rPr>
        <w:t>Arquibos Brasileiros de Cirurgia</w:t>
      </w:r>
      <w:r>
        <w:rPr>
          <w:sz w:val="16"/>
        </w:rPr>
        <w:t xml:space="preserve"> </w:t>
      </w:r>
      <w:r>
        <w:rPr>
          <w:i/>
          <w:sz w:val="16"/>
        </w:rPr>
        <w:t>Digestiva (Sao Paulo), 31</w:t>
      </w:r>
      <w:r>
        <w:rPr>
          <w:sz w:val="16"/>
        </w:rPr>
        <w:t>(2). https://doi.org/10.1590/0102-</w:t>
      </w:r>
      <w:r>
        <w:rPr>
          <w:sz w:val="16"/>
        </w:rPr>
        <w:t>672020180001e1376</w:t>
      </w:r>
    </w:p>
    <w:p w:rsidR="00000000" w:rsidRDefault="00C812D6">
      <w:pPr>
        <w:spacing w:line="35" w:lineRule="exact"/>
        <w:rPr>
          <w:sz w:val="16"/>
        </w:rPr>
      </w:pPr>
    </w:p>
    <w:p w:rsidR="00000000" w:rsidRDefault="00C812D6">
      <w:pPr>
        <w:numPr>
          <w:ilvl w:val="0"/>
          <w:numId w:val="4"/>
        </w:numPr>
        <w:tabs>
          <w:tab w:val="left" w:pos="362"/>
        </w:tabs>
        <w:spacing w:line="0" w:lineRule="atLeast"/>
        <w:ind w:left="362" w:right="300" w:hanging="362"/>
        <w:rPr>
          <w:sz w:val="15"/>
        </w:rPr>
      </w:pPr>
      <w:r>
        <w:rPr>
          <w:sz w:val="15"/>
        </w:rPr>
        <w:t xml:space="preserve">Hurwitz, M., Bahar, R., Ament, M., Tolia, V., Molleston, J., Reinstein, L. J., Walton, J., Erhart, N., Wasserman, D., Justinich, C., &amp; </w:t>
      </w:r>
      <w:r>
        <w:rPr>
          <w:sz w:val="15"/>
        </w:rPr>
        <w:t>Vargas, J. (2000). Evaluation of the use of</w:t>
      </w:r>
    </w:p>
    <w:p w:rsidR="00000000" w:rsidRDefault="00C812D6">
      <w:pPr>
        <w:tabs>
          <w:tab w:val="left" w:pos="362"/>
        </w:tabs>
        <w:spacing w:line="0" w:lineRule="atLeast"/>
        <w:ind w:left="362" w:right="300" w:hanging="362"/>
        <w:rPr>
          <w:sz w:val="15"/>
        </w:rPr>
        <w:sectPr w:rsidR="00000000">
          <w:pgSz w:w="12240" w:h="15840"/>
          <w:pgMar w:top="1411" w:right="1440" w:bottom="140" w:left="1440" w:header="0" w:footer="0" w:gutter="0"/>
          <w:cols w:num="2" w:space="0" w:equalWidth="0">
            <w:col w:w="4340" w:space="698"/>
            <w:col w:w="4322"/>
          </w:cols>
          <w:docGrid w:linePitch="360"/>
        </w:sectPr>
      </w:pPr>
    </w:p>
    <w:p w:rsidR="00000000" w:rsidRDefault="00C812D6">
      <w:pPr>
        <w:spacing w:line="200" w:lineRule="exact"/>
        <w:rPr>
          <w:rFonts w:ascii="Times New Roman" w:eastAsia="Times New Roman" w:hAnsi="Times New Roman"/>
        </w:rPr>
      </w:pPr>
    </w:p>
    <w:p w:rsidR="00000000" w:rsidRDefault="00C812D6">
      <w:pPr>
        <w:spacing w:line="255" w:lineRule="exact"/>
        <w:rPr>
          <w:rFonts w:ascii="Times New Roman" w:eastAsia="Times New Roman" w:hAnsi="Times New Roman"/>
        </w:rPr>
      </w:pPr>
    </w:p>
    <w:p w:rsidR="00000000"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4</w:t>
      </w:r>
    </w:p>
    <w:p w:rsidR="00000000" w:rsidRDefault="00C812D6">
      <w:pPr>
        <w:spacing w:line="0" w:lineRule="atLeast"/>
        <w:ind w:left="9240"/>
        <w:rPr>
          <w:rFonts w:ascii="Times New Roman" w:eastAsia="Times New Roman" w:hAnsi="Times New Roman"/>
          <w:sz w:val="24"/>
        </w:rPr>
        <w:sectPr w:rsidR="00000000">
          <w:type w:val="continuous"/>
          <w:pgSz w:w="12240" w:h="15840"/>
          <w:pgMar w:top="1411" w:right="1440" w:bottom="140" w:left="1440" w:header="0" w:footer="0" w:gutter="0"/>
          <w:cols w:space="0" w:equalWidth="0">
            <w:col w:w="9360"/>
          </w:cols>
          <w:docGrid w:linePitch="360"/>
        </w:sectPr>
      </w:pPr>
    </w:p>
    <w:p w:rsidR="00000000" w:rsidRDefault="00C812D6">
      <w:pPr>
        <w:spacing w:line="0" w:lineRule="atLeast"/>
        <w:ind w:left="360"/>
        <w:rPr>
          <w:i/>
          <w:sz w:val="16"/>
        </w:rPr>
      </w:pPr>
      <w:bookmarkStart w:id="5" w:name="page5"/>
      <w:bookmarkEnd w:id="5"/>
      <w:r>
        <w:rPr>
          <w:sz w:val="16"/>
        </w:rPr>
        <w:t xml:space="preserve">botulinum toxin in children with achalasia. </w:t>
      </w:r>
      <w:r>
        <w:rPr>
          <w:i/>
          <w:sz w:val="16"/>
        </w:rPr>
        <w:t>Journal of</w:t>
      </w:r>
    </w:p>
    <w:p w:rsidR="00000000" w:rsidRDefault="00C812D6">
      <w:pPr>
        <w:spacing w:line="0" w:lineRule="atLeast"/>
        <w:ind w:left="360"/>
        <w:rPr>
          <w:sz w:val="16"/>
        </w:rPr>
      </w:pPr>
      <w:r>
        <w:rPr>
          <w:i/>
          <w:sz w:val="16"/>
        </w:rPr>
        <w:t>Pediatric Gastroenterology and Nutrition, 30</w:t>
      </w:r>
      <w:r>
        <w:rPr>
          <w:sz w:val="16"/>
        </w:rPr>
        <w:t>(5), 509</w:t>
      </w:r>
      <w:r>
        <w:rPr>
          <w:sz w:val="16"/>
        </w:rPr>
        <w:t>–514.</w:t>
      </w:r>
    </w:p>
    <w:p w:rsidR="00000000" w:rsidRDefault="00C812D6">
      <w:pPr>
        <w:spacing w:line="0" w:lineRule="atLeast"/>
        <w:ind w:left="360"/>
        <w:rPr>
          <w:sz w:val="16"/>
        </w:rPr>
      </w:pPr>
      <w:r>
        <w:rPr>
          <w:sz w:val="16"/>
        </w:rPr>
        <w:t>https://doi.org/10.1097/00005176-200005000-00009</w:t>
      </w:r>
    </w:p>
    <w:p w:rsidR="00000000" w:rsidRDefault="00C812D6">
      <w:pPr>
        <w:spacing w:line="34" w:lineRule="exact"/>
        <w:rPr>
          <w:rFonts w:ascii="Times New Roman" w:eastAsia="Times New Roman" w:hAnsi="Times New Roman"/>
        </w:rPr>
      </w:pPr>
    </w:p>
    <w:p w:rsidR="00000000" w:rsidRDefault="00C812D6">
      <w:pPr>
        <w:numPr>
          <w:ilvl w:val="0"/>
          <w:numId w:val="5"/>
        </w:numPr>
        <w:tabs>
          <w:tab w:val="left" w:pos="360"/>
        </w:tabs>
        <w:spacing w:line="232" w:lineRule="auto"/>
        <w:ind w:left="360" w:right="5220" w:hanging="359"/>
        <w:rPr>
          <w:sz w:val="16"/>
        </w:rPr>
      </w:pPr>
      <w:r>
        <w:rPr>
          <w:sz w:val="16"/>
        </w:rPr>
        <w:t xml:space="preserve">Savarino, E., Gemignani, L., Zentilin, P., </w:t>
      </w:r>
      <w:r>
        <w:rPr>
          <w:sz w:val="16"/>
        </w:rPr>
        <w:t xml:space="preserve">de Bortoli, N., Malesci, A., Mastracci, L., Fiocca, R., &amp; Savarino, V. (2011). Achalasia with dense eosinophilic infiltrate responds to steroid therapy. </w:t>
      </w:r>
      <w:r>
        <w:rPr>
          <w:i/>
          <w:sz w:val="16"/>
        </w:rPr>
        <w:t>Clinical Gastroenterology and Hepatology,</w:t>
      </w:r>
      <w:r>
        <w:rPr>
          <w:sz w:val="16"/>
        </w:rPr>
        <w:t xml:space="preserve"> </w:t>
      </w:r>
      <w:r>
        <w:rPr>
          <w:i/>
          <w:sz w:val="16"/>
        </w:rPr>
        <w:t>9</w:t>
      </w:r>
      <w:r>
        <w:rPr>
          <w:sz w:val="16"/>
        </w:rPr>
        <w:t>(12), 1104</w:t>
      </w:r>
      <w:r>
        <w:rPr>
          <w:sz w:val="16"/>
        </w:rPr>
        <w:t>–1106.</w:t>
      </w:r>
      <w:r>
        <w:rPr>
          <w:i/>
          <w:sz w:val="16"/>
        </w:rPr>
        <w:t xml:space="preserve"> </w:t>
      </w:r>
      <w:r>
        <w:rPr>
          <w:sz w:val="16"/>
        </w:rPr>
        <w:t>https://doi.org/10.1016/j.cgh.2011.08.002</w:t>
      </w:r>
    </w:p>
    <w:p w:rsidR="00000000" w:rsidRDefault="00C812D6">
      <w:pPr>
        <w:spacing w:line="37" w:lineRule="exact"/>
        <w:rPr>
          <w:sz w:val="16"/>
        </w:rPr>
      </w:pPr>
    </w:p>
    <w:p w:rsidR="00000000" w:rsidRDefault="00C812D6">
      <w:pPr>
        <w:numPr>
          <w:ilvl w:val="0"/>
          <w:numId w:val="5"/>
        </w:numPr>
        <w:tabs>
          <w:tab w:val="left" w:pos="360"/>
        </w:tabs>
        <w:spacing w:line="225" w:lineRule="auto"/>
        <w:ind w:left="360" w:right="5080" w:hanging="359"/>
        <w:rPr>
          <w:sz w:val="16"/>
        </w:rPr>
      </w:pPr>
      <w:r>
        <w:rPr>
          <w:sz w:val="16"/>
        </w:rPr>
        <w:t>Vaezi, M. F., &amp; Richter, J. E. (1998). Current Therapies for Achalasia. Journal of Clinical Gastroenterology, 27(1), 21</w:t>
      </w:r>
      <w:r>
        <w:rPr>
          <w:sz w:val="16"/>
        </w:rPr>
        <w:t>–35. https://doi.org/10.1097/00004836-199807000-00006</w:t>
      </w:r>
    </w:p>
    <w:p w:rsidR="00000000" w:rsidRDefault="00C812D6">
      <w:pPr>
        <w:spacing w:line="36" w:lineRule="exact"/>
        <w:rPr>
          <w:sz w:val="16"/>
        </w:rPr>
      </w:pPr>
    </w:p>
    <w:p w:rsidR="00000000" w:rsidRDefault="00C812D6">
      <w:pPr>
        <w:numPr>
          <w:ilvl w:val="0"/>
          <w:numId w:val="5"/>
        </w:numPr>
        <w:tabs>
          <w:tab w:val="left" w:pos="360"/>
        </w:tabs>
        <w:spacing w:line="252" w:lineRule="auto"/>
        <w:ind w:left="360" w:right="5100" w:hanging="359"/>
        <w:rPr>
          <w:sz w:val="15"/>
        </w:rPr>
      </w:pPr>
      <w:r>
        <w:rPr>
          <w:sz w:val="15"/>
        </w:rPr>
        <w:t>Burns, A., Goldstein, A., Newgreen, D., Stamp, L., Schäfer, K., Metzger, M., Hotta</w:t>
      </w:r>
      <w:r>
        <w:rPr>
          <w:sz w:val="15"/>
        </w:rPr>
        <w:t>, R., Young, H., Andrews, P., Thapar, N., Belkind-Gerson, J., Bondurand, N., Bornstein, J., Chan, W., Cheah, K., Gershon, M., Heuckeroth, R., Hofstra, R., Just, L., &amp; Vanden Berghe, P. (2016). White paper on guidelines concerning enteric nervous system ste</w:t>
      </w:r>
      <w:r>
        <w:rPr>
          <w:sz w:val="15"/>
        </w:rPr>
        <w:t xml:space="preserve">m cell therapy for enteric neuropathies. </w:t>
      </w:r>
      <w:r>
        <w:rPr>
          <w:i/>
          <w:sz w:val="15"/>
        </w:rPr>
        <w:t>Developmental Biology, 417</w:t>
      </w:r>
      <w:r>
        <w:rPr>
          <w:sz w:val="15"/>
        </w:rPr>
        <w:t>(2), 229</w:t>
      </w:r>
      <w:r>
        <w:rPr>
          <w:sz w:val="15"/>
        </w:rPr>
        <w:t>– 251. https://doi.org/10.1016/j.ydbio.2016.04.001</w:t>
      </w:r>
    </w:p>
    <w:p w:rsidR="00000000" w:rsidRDefault="00C812D6">
      <w:pPr>
        <w:tabs>
          <w:tab w:val="left" w:pos="360"/>
        </w:tabs>
        <w:spacing w:line="252" w:lineRule="auto"/>
        <w:ind w:left="360" w:right="5100" w:hanging="359"/>
        <w:rPr>
          <w:sz w:val="15"/>
        </w:rPr>
        <w:sectPr w:rsidR="00000000">
          <w:pgSz w:w="12240" w:h="15840"/>
          <w:pgMar w:top="1415" w:right="1440" w:bottom="140" w:left="1440" w:header="0" w:footer="0" w:gutter="0"/>
          <w:cols w:space="0" w:equalWidth="0">
            <w:col w:w="9360"/>
          </w:cols>
          <w:docGrid w:linePitch="360"/>
        </w:sect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200" w:lineRule="exact"/>
        <w:rPr>
          <w:rFonts w:ascii="Times New Roman" w:eastAsia="Times New Roman" w:hAnsi="Times New Roman"/>
        </w:rPr>
      </w:pPr>
    </w:p>
    <w:p w:rsidR="00000000" w:rsidRDefault="00C812D6">
      <w:pPr>
        <w:spacing w:line="329" w:lineRule="exact"/>
        <w:rPr>
          <w:rFonts w:ascii="Times New Roman" w:eastAsia="Times New Roman" w:hAnsi="Times New Roman"/>
        </w:rPr>
      </w:pPr>
    </w:p>
    <w:p w:rsidR="00000000"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5</w:t>
      </w:r>
    </w:p>
    <w:sectPr w:rsidR="00000000">
      <w:type w:val="continuous"/>
      <w:pgSz w:w="12240" w:h="15840"/>
      <w:pgMar w:top="1415" w:right="1440" w:bottom="1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9495CFE"/>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15:restartNumberingAfterBreak="0">
    <w:nsid w:val="00000002"/>
    <w:multiLevelType w:val="hybridMultilevel"/>
    <w:tmpl w:val="2AE8944A"/>
    <w:lvl w:ilvl="0">
      <w:start w:val="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15:restartNumberingAfterBreak="0">
    <w:nsid w:val="00000003"/>
    <w:multiLevelType w:val="hybridMultilevel"/>
    <w:tmpl w:val="625558EC"/>
    <w:lvl w:ilvl="0">
      <w:start w:val="33"/>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15:restartNumberingAfterBreak="0">
    <w:nsid w:val="00000004"/>
    <w:multiLevelType w:val="hybridMultilevel"/>
    <w:tmpl w:val="238E1F28"/>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4" w15:restartNumberingAfterBreak="0">
    <w:nsid w:val="00000005"/>
    <w:multiLevelType w:val="hybridMultilevel"/>
    <w:tmpl w:val="46E87CCC"/>
    <w:lvl w:ilvl="0">
      <w:start w:val="12"/>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812D6"/>
    <w:rsid w:val="00C81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AB1D09F-CAC4-4B5E-A1AC-980E2C909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2739</Words>
  <Characters>15613</Characters>
  <Application>Microsoft Office Word</Application>
  <DocSecurity>4</DocSecurity>
  <Lines>130</Lines>
  <Paragraphs>36</Paragraphs>
  <ScaleCrop>false</ScaleCrop>
  <Company/>
  <LinksUpToDate>false</LinksUpToDate>
  <CharactersWithSpaces>18316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dc:creator>
  <cp:keywords/>
  <cp:lastModifiedBy>word</cp:lastModifiedBy>
  <cp:revision>2</cp:revision>
  <dcterms:created xsi:type="dcterms:W3CDTF">2022-06-01T04:32:00Z</dcterms:created>
  <dcterms:modified xsi:type="dcterms:W3CDTF">2022-06-01T04:32:00Z</dcterms:modified>
</cp:coreProperties>
</file>