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A84F9" w14:textId="29212ABA" w:rsidR="00C5366A" w:rsidRPr="00844C49" w:rsidRDefault="00A717F9" w:rsidP="00844C49">
      <w:pPr>
        <w:pStyle w:val="Heading1"/>
        <w:rPr>
          <w:rFonts w:ascii="Times New Roman" w:hAnsi="Times New Roman" w:cs="Times New Roman"/>
        </w:rPr>
      </w:pPr>
      <w:r w:rsidRPr="001F044F">
        <w:rPr>
          <w:rFonts w:ascii="Times New Roman" w:hAnsi="Times New Roman" w:cs="Times New Roman"/>
        </w:rPr>
        <w:drawing>
          <wp:anchor distT="0" distB="0" distL="114300" distR="114300" simplePos="0" relativeHeight="251658240" behindDoc="0" locked="0" layoutInCell="1" allowOverlap="1" wp14:anchorId="083E681F" wp14:editId="76342E8A">
            <wp:simplePos x="0" y="0"/>
            <wp:positionH relativeFrom="margin">
              <wp:align>left</wp:align>
            </wp:positionH>
            <wp:positionV relativeFrom="paragraph">
              <wp:posOffset>246</wp:posOffset>
            </wp:positionV>
            <wp:extent cx="1836357" cy="1836357"/>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36357" cy="1836357"/>
                    </a:xfrm>
                    <a:prstGeom prst="rect">
                      <a:avLst/>
                    </a:prstGeom>
                    <a:noFill/>
                    <a:ln>
                      <a:noFill/>
                    </a:ln>
                  </pic:spPr>
                </pic:pic>
              </a:graphicData>
            </a:graphic>
          </wp:anchor>
        </w:drawing>
      </w:r>
      <w:r w:rsidR="00E5320C" w:rsidRPr="001F044F">
        <w:rPr>
          <w:rFonts w:ascii="Times New Roman" w:hAnsi="Times New Roman" w:cs="Times New Roman"/>
        </w:rPr>
        <w:t>Quantification Of Antenatal Adrenal Volumes In Fetuses That Delivered &lt;32 Weeks’ Gestation Using M</w:t>
      </w:r>
      <w:r w:rsidR="00236E84" w:rsidRPr="001F044F">
        <w:rPr>
          <w:rFonts w:ascii="Times New Roman" w:hAnsi="Times New Roman" w:cs="Times New Roman"/>
        </w:rPr>
        <w:t>RI</w:t>
      </w:r>
      <w:r w:rsidR="00E5320C" w:rsidRPr="001F044F">
        <w:rPr>
          <w:rFonts w:ascii="Times New Roman" w:hAnsi="Times New Roman" w:cs="Times New Roman"/>
        </w:rPr>
        <w:t xml:space="preserve">: A Retrospective Cohort Study </w:t>
      </w:r>
    </w:p>
    <w:p w14:paraId="2911FF19" w14:textId="53817BB2" w:rsidR="00E5320C" w:rsidRPr="001F044F" w:rsidRDefault="00E5320C" w:rsidP="00E5320C">
      <w:pPr>
        <w:rPr>
          <w:rFonts w:ascii="Times New Roman" w:hAnsi="Times New Roman" w:cs="Times New Roman"/>
          <w:b/>
          <w:bCs/>
          <w:color w:val="C45911" w:themeColor="accent2" w:themeShade="BF"/>
          <w:sz w:val="24"/>
          <w:szCs w:val="24"/>
        </w:rPr>
      </w:pPr>
      <w:r w:rsidRPr="001F044F">
        <w:rPr>
          <w:rFonts w:ascii="Times New Roman" w:hAnsi="Times New Roman" w:cs="Times New Roman"/>
          <w:b/>
          <w:bCs/>
          <w:color w:val="C45911" w:themeColor="accent2" w:themeShade="BF"/>
          <w:sz w:val="24"/>
          <w:szCs w:val="24"/>
        </w:rPr>
        <w:t>Elise du Crest</w:t>
      </w:r>
    </w:p>
    <w:p w14:paraId="29734803" w14:textId="41ABDCCD" w:rsidR="00E5320C" w:rsidRPr="001F044F" w:rsidRDefault="00E5320C" w:rsidP="00E5320C">
      <w:pPr>
        <w:rPr>
          <w:rFonts w:ascii="Times New Roman" w:hAnsi="Times New Roman" w:cs="Times New Roman"/>
          <w:sz w:val="24"/>
          <w:szCs w:val="24"/>
        </w:rPr>
      </w:pPr>
      <w:r w:rsidRPr="001F044F">
        <w:rPr>
          <w:rFonts w:ascii="Times New Roman" w:hAnsi="Times New Roman" w:cs="Times New Roman"/>
          <w:sz w:val="24"/>
          <w:szCs w:val="24"/>
        </w:rPr>
        <w:t>Medical Student, Department of Women’s Health</w:t>
      </w:r>
    </w:p>
    <w:p w14:paraId="79427C83" w14:textId="6716E27A" w:rsidR="00E5320C" w:rsidRPr="001F044F" w:rsidRDefault="00E5320C" w:rsidP="00E5320C">
      <w:pPr>
        <w:rPr>
          <w:rFonts w:ascii="Times New Roman" w:hAnsi="Times New Roman" w:cs="Times New Roman"/>
          <w:sz w:val="24"/>
          <w:szCs w:val="24"/>
        </w:rPr>
      </w:pPr>
      <w:r w:rsidRPr="001F044F">
        <w:rPr>
          <w:rFonts w:ascii="Times New Roman" w:hAnsi="Times New Roman" w:cs="Times New Roman"/>
          <w:sz w:val="24"/>
          <w:szCs w:val="24"/>
        </w:rPr>
        <w:t>King’s College London</w:t>
      </w:r>
    </w:p>
    <w:p w14:paraId="26EE87BA" w14:textId="73FB455F" w:rsidR="003E78FA" w:rsidRPr="001F044F" w:rsidRDefault="003E78FA">
      <w:pPr>
        <w:rPr>
          <w:rFonts w:ascii="Times New Roman" w:hAnsi="Times New Roman" w:cs="Times New Roman"/>
          <w:sz w:val="24"/>
          <w:szCs w:val="24"/>
        </w:rPr>
      </w:pPr>
    </w:p>
    <w:p w14:paraId="75FD2857" w14:textId="2A006261" w:rsidR="00982F55" w:rsidRPr="001F044F" w:rsidRDefault="00982F55" w:rsidP="008A78BB">
      <w:pPr>
        <w:rPr>
          <w:rFonts w:ascii="Times New Roman" w:hAnsi="Times New Roman" w:cs="Times New Roman"/>
          <w:sz w:val="24"/>
          <w:szCs w:val="24"/>
        </w:rPr>
      </w:pPr>
      <w:r w:rsidRPr="001F044F">
        <w:rPr>
          <w:rFonts w:ascii="Times New Roman" w:hAnsi="Times New Roman" w:cs="Times New Roman"/>
          <w:sz w:val="24"/>
          <w:szCs w:val="24"/>
        </w:rPr>
        <w:t xml:space="preserve">Preterm birth is defined as birth before 37 weeks of gestation, and affects 7.4% of all deliveries in the UK. Up to 85% of neonatal deaths are attributable to preterm birth. It is also associated with morbidity such as neurological and pulmonary sequelae. Infection is known to play a role in the aetiology of preterm birth; diagnosis to date relies exclusively on maternal symptoms. There is a need to develop non-invasive tools to diagnose intrauterine infection. The adrenal glands are known to participate in the response to infection. This study aims to create normative ranges for adrenal gland volume, and to compare adrenal volume between fetuses subsequently born preterm (&lt;32 weeks gestation) and those born at term (&gt;37 weeks gestation) using advanced MRI technique. We retrospectively acquired datasets form 15 fetuses delivered &lt;32 weeks gestation. The control group, 55 fetuses delivered &gt;37 weeks, consisted of existing datasets from several other studies. Using MRI, T2 weighted stacks of the fetal abdomen were carried out at 1.5T and 3T. These images were motion corrected and 3D reconstructed. The body and adrenal glands were segmented. We generated normative ranges for fetal adrenal volume between 20-32 weeks gestation. We found that in fetuses subsequently born preterm (&lt;32 weeks), the adrenal glands were larger than in fetuses subsequently born at term (Figure 1), a finding that persisted when standardized for fetal size. There was no relationship between adrenal size and presence of infection in the preterm group. </w:t>
      </w:r>
    </w:p>
    <w:p w14:paraId="0C017EC8" w14:textId="77777777" w:rsidR="00982F55" w:rsidRPr="001F044F" w:rsidRDefault="00982F55" w:rsidP="00982F55">
      <w:pPr>
        <w:spacing w:line="240" w:lineRule="auto"/>
        <w:rPr>
          <w:rFonts w:ascii="Times New Roman" w:hAnsi="Times New Roman" w:cs="Times New Roman"/>
          <w:sz w:val="24"/>
          <w:szCs w:val="24"/>
        </w:rPr>
      </w:pPr>
      <w:r w:rsidRPr="001F044F">
        <w:rPr>
          <w:rFonts w:ascii="Times New Roman" w:hAnsi="Times New Roman" w:cs="Times New Roman"/>
          <w:noProof/>
          <w:sz w:val="24"/>
          <w:szCs w:val="24"/>
        </w:rPr>
        <w:drawing>
          <wp:anchor distT="0" distB="0" distL="114300" distR="114300" simplePos="0" relativeHeight="251659264" behindDoc="0" locked="0" layoutInCell="1" allowOverlap="1" wp14:anchorId="7CC06AC5" wp14:editId="741F3AF7">
            <wp:simplePos x="0" y="0"/>
            <wp:positionH relativeFrom="margin">
              <wp:align>left</wp:align>
            </wp:positionH>
            <wp:positionV relativeFrom="paragraph">
              <wp:posOffset>-635</wp:posOffset>
            </wp:positionV>
            <wp:extent cx="4323715" cy="2720340"/>
            <wp:effectExtent l="0" t="0" r="635" b="3810"/>
            <wp:wrapSquare wrapText="bothSides"/>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323715" cy="2720340"/>
                    </a:xfrm>
                    <a:prstGeom prst="rect">
                      <a:avLst/>
                    </a:prstGeom>
                  </pic:spPr>
                </pic:pic>
              </a:graphicData>
            </a:graphic>
            <wp14:sizeRelH relativeFrom="margin">
              <wp14:pctWidth>0</wp14:pctWidth>
            </wp14:sizeRelH>
            <wp14:sizeRelV relativeFrom="margin">
              <wp14:pctHeight>0</wp14:pctHeight>
            </wp14:sizeRelV>
          </wp:anchor>
        </w:drawing>
      </w:r>
    </w:p>
    <w:p w14:paraId="306964CC" w14:textId="77777777" w:rsidR="00982F55" w:rsidRPr="001F044F" w:rsidRDefault="00982F55" w:rsidP="00982F55">
      <w:pPr>
        <w:spacing w:line="240" w:lineRule="auto"/>
        <w:rPr>
          <w:rFonts w:ascii="Times New Roman" w:hAnsi="Times New Roman" w:cs="Times New Roman"/>
          <w:sz w:val="24"/>
          <w:szCs w:val="24"/>
        </w:rPr>
      </w:pPr>
    </w:p>
    <w:p w14:paraId="564CAB0B" w14:textId="77777777" w:rsidR="00982F55" w:rsidRPr="001F044F" w:rsidRDefault="00982F55" w:rsidP="00982F55">
      <w:pPr>
        <w:spacing w:line="240" w:lineRule="auto"/>
        <w:rPr>
          <w:rFonts w:ascii="Times New Roman" w:hAnsi="Times New Roman" w:cs="Times New Roman"/>
          <w:sz w:val="24"/>
          <w:szCs w:val="24"/>
        </w:rPr>
      </w:pPr>
      <w:r w:rsidRPr="001F044F">
        <w:rPr>
          <w:rFonts w:ascii="Times New Roman" w:hAnsi="Times New Roman" w:cs="Times New Roman"/>
          <w:b/>
          <w:bCs/>
          <w:sz w:val="24"/>
          <w:szCs w:val="24"/>
        </w:rPr>
        <w:t>Figure 1.</w:t>
      </w:r>
      <w:r w:rsidRPr="001F044F">
        <w:rPr>
          <w:rFonts w:ascii="Times New Roman" w:hAnsi="Times New Roman" w:cs="Times New Roman"/>
          <w:sz w:val="24"/>
          <w:szCs w:val="24"/>
        </w:rPr>
        <w:t xml:space="preserve"> Graph illustrating the fetal adrenal gland between 20 and 32 weeks gestation, in fetuses that subsequently delivered at term (&gt;37 weeks) and those that subsequently delivered before 32 weeks. </w:t>
      </w:r>
    </w:p>
    <w:p w14:paraId="564AA308" w14:textId="77777777" w:rsidR="00982F55" w:rsidRPr="001F044F" w:rsidRDefault="00982F55" w:rsidP="00982F55">
      <w:pPr>
        <w:rPr>
          <w:rFonts w:ascii="Times New Roman" w:hAnsi="Times New Roman" w:cs="Times New Roman"/>
          <w:sz w:val="24"/>
          <w:szCs w:val="24"/>
        </w:rPr>
      </w:pPr>
    </w:p>
    <w:p w14:paraId="085D422D" w14:textId="0BDBEFCA" w:rsidR="00982F55" w:rsidRPr="001F044F" w:rsidRDefault="00982F55" w:rsidP="008A78BB">
      <w:pPr>
        <w:rPr>
          <w:rFonts w:ascii="Times New Roman" w:hAnsi="Times New Roman" w:cs="Times New Roman"/>
          <w:sz w:val="24"/>
          <w:szCs w:val="24"/>
        </w:rPr>
      </w:pPr>
      <w:r w:rsidRPr="001F044F">
        <w:rPr>
          <w:rFonts w:ascii="Times New Roman" w:hAnsi="Times New Roman" w:cs="Times New Roman"/>
          <w:sz w:val="24"/>
          <w:szCs w:val="24"/>
        </w:rPr>
        <w:lastRenderedPageBreak/>
        <w:t xml:space="preserve">Fetuses born preterm have larger adrenal glands than fetuses born at term. MRI analysis of the fetal adrenal gland should be investigated further as a predictor of preterm birth. This may also be indicative of an underlying intrauterine infection, however data are still inconclusive and a larger sample size is necessary to assess the correlation between adrenal size and presence of infection.  </w:t>
      </w:r>
    </w:p>
    <w:p w14:paraId="09A152AA" w14:textId="0CECEEB2" w:rsidR="00E5320C" w:rsidRPr="001F044F" w:rsidRDefault="00E5320C">
      <w:pPr>
        <w:rPr>
          <w:rFonts w:ascii="Times New Roman" w:hAnsi="Times New Roman" w:cs="Times New Roman"/>
          <w:sz w:val="24"/>
          <w:szCs w:val="24"/>
        </w:rPr>
      </w:pPr>
    </w:p>
    <w:p w14:paraId="788DD935" w14:textId="43571D2C" w:rsidR="00E5320C" w:rsidRPr="00844C49" w:rsidRDefault="00982F55" w:rsidP="00EA41DB">
      <w:pPr>
        <w:pStyle w:val="Heading2"/>
        <w:rPr>
          <w:rStyle w:val="Emphasis"/>
          <w:rFonts w:ascii="Times New Roman" w:hAnsi="Times New Roman" w:cs="Times New Roman"/>
          <w:b/>
          <w:bCs/>
          <w:i w:val="0"/>
          <w:iCs w:val="0"/>
        </w:rPr>
      </w:pPr>
      <w:r w:rsidRPr="00844C49">
        <w:rPr>
          <w:rStyle w:val="Emphasis"/>
          <w:rFonts w:ascii="Times New Roman" w:hAnsi="Times New Roman" w:cs="Times New Roman"/>
          <w:b/>
          <w:bCs/>
          <w:i w:val="0"/>
          <w:iCs w:val="0"/>
        </w:rPr>
        <w:t>Biography</w:t>
      </w:r>
    </w:p>
    <w:p w14:paraId="566D38BB" w14:textId="00070505" w:rsidR="00E5320C" w:rsidRPr="001F044F" w:rsidRDefault="00E5320C">
      <w:pPr>
        <w:rPr>
          <w:rFonts w:ascii="Times New Roman" w:hAnsi="Times New Roman" w:cs="Times New Roman"/>
          <w:sz w:val="24"/>
          <w:szCs w:val="24"/>
        </w:rPr>
      </w:pPr>
      <w:r w:rsidRPr="001F044F">
        <w:rPr>
          <w:rFonts w:ascii="Times New Roman" w:hAnsi="Times New Roman" w:cs="Times New Roman"/>
          <w:sz w:val="24"/>
          <w:szCs w:val="24"/>
        </w:rPr>
        <w:t>Du Crest is currently a 4</w:t>
      </w:r>
      <w:r w:rsidRPr="001F044F">
        <w:rPr>
          <w:rFonts w:ascii="Times New Roman" w:hAnsi="Times New Roman" w:cs="Times New Roman"/>
          <w:sz w:val="24"/>
          <w:szCs w:val="24"/>
          <w:vertAlign w:val="superscript"/>
        </w:rPr>
        <w:t>th</w:t>
      </w:r>
      <w:r w:rsidRPr="001F044F">
        <w:rPr>
          <w:rFonts w:ascii="Times New Roman" w:hAnsi="Times New Roman" w:cs="Times New Roman"/>
          <w:sz w:val="24"/>
          <w:szCs w:val="24"/>
        </w:rPr>
        <w:t xml:space="preserve"> year medical student at King’s College London. Her focus is on Women’s Health and Fetal Health. </w:t>
      </w:r>
      <w:r w:rsidR="00982F55" w:rsidRPr="001F044F">
        <w:rPr>
          <w:rFonts w:ascii="Times New Roman" w:hAnsi="Times New Roman" w:cs="Times New Roman"/>
          <w:sz w:val="24"/>
          <w:szCs w:val="24"/>
        </w:rPr>
        <w:t xml:space="preserve">After graduating from medical school, she plans to specialise in Obstetrics and Gynaecology. </w:t>
      </w:r>
    </w:p>
    <w:p w14:paraId="285830BD" w14:textId="5A5284AC" w:rsidR="00982F55" w:rsidRPr="001F044F" w:rsidRDefault="00982F55">
      <w:pPr>
        <w:rPr>
          <w:rFonts w:ascii="Times New Roman" w:hAnsi="Times New Roman" w:cs="Times New Roman"/>
          <w:sz w:val="24"/>
          <w:szCs w:val="24"/>
        </w:rPr>
      </w:pPr>
    </w:p>
    <w:p w14:paraId="2AB8A2F0" w14:textId="031181DC" w:rsidR="00982F55" w:rsidRPr="001F044F" w:rsidRDefault="00982F55">
      <w:pPr>
        <w:rPr>
          <w:rFonts w:ascii="Times New Roman" w:hAnsi="Times New Roman" w:cs="Times New Roman"/>
          <w:sz w:val="24"/>
          <w:szCs w:val="24"/>
        </w:rPr>
      </w:pPr>
      <w:r w:rsidRPr="001F044F">
        <w:rPr>
          <w:rFonts w:ascii="Times New Roman" w:hAnsi="Times New Roman" w:cs="Times New Roman"/>
          <w:sz w:val="24"/>
          <w:szCs w:val="24"/>
        </w:rPr>
        <w:t>Reference Publications:</w:t>
      </w:r>
    </w:p>
    <w:p w14:paraId="3DB0E901" w14:textId="32C7DC9B" w:rsidR="00982F55" w:rsidRPr="001F044F" w:rsidRDefault="007D3EA6" w:rsidP="00982F55">
      <w:pPr>
        <w:pStyle w:val="EndNoteBibliography"/>
        <w:spacing w:after="0"/>
        <w:ind w:left="720" w:hanging="720"/>
        <w:rPr>
          <w:rFonts w:ascii="Times New Roman" w:hAnsi="Times New Roman" w:cs="Times New Roman"/>
          <w:sz w:val="24"/>
          <w:szCs w:val="24"/>
        </w:rPr>
      </w:pPr>
      <w:r w:rsidRPr="00E06AA3">
        <w:rPr>
          <w:rFonts w:ascii="Times New Roman" w:hAnsi="Times New Roman" w:cs="Times New Roman"/>
          <w:iCs/>
          <w:sz w:val="24"/>
          <w:szCs w:val="24"/>
        </w:rPr>
        <w:t>1.</w:t>
      </w:r>
      <w:r>
        <w:rPr>
          <w:rFonts w:ascii="Times New Roman" w:hAnsi="Times New Roman" w:cs="Times New Roman"/>
          <w:i/>
          <w:sz w:val="24"/>
          <w:szCs w:val="24"/>
        </w:rPr>
        <w:t xml:space="preserve"> </w:t>
      </w:r>
      <w:r w:rsidR="00982F55" w:rsidRPr="001F044F">
        <w:rPr>
          <w:rFonts w:ascii="Times New Roman" w:hAnsi="Times New Roman" w:cs="Times New Roman"/>
          <w:i/>
          <w:sz w:val="24"/>
          <w:szCs w:val="24"/>
        </w:rPr>
        <w:t>Birth characteristics in England and Wales: 2020</w:t>
      </w:r>
      <w:r w:rsidR="00982F55" w:rsidRPr="001F044F">
        <w:rPr>
          <w:rFonts w:ascii="Times New Roman" w:hAnsi="Times New Roman" w:cs="Times New Roman"/>
          <w:sz w:val="24"/>
          <w:szCs w:val="24"/>
        </w:rPr>
        <w:t xml:space="preserve">. (2022). Office for National Statistics. Retrieved 31 January from </w:t>
      </w:r>
      <w:hyperlink r:id="rId6" w:history="1">
        <w:r w:rsidR="00982F55" w:rsidRPr="001F044F">
          <w:rPr>
            <w:rStyle w:val="Hyperlink"/>
            <w:rFonts w:ascii="Times New Roman" w:hAnsi="Times New Roman" w:cs="Times New Roman"/>
            <w:sz w:val="24"/>
            <w:szCs w:val="24"/>
          </w:rPr>
          <w:t>https://www.ons.gov.uk/peoplepopulationandcommunity/birthsdeathsandmarriages/livebirths/bulletins/birthcharacteristicsinenglandandwales/2020</w:t>
        </w:r>
      </w:hyperlink>
    </w:p>
    <w:p w14:paraId="3CFC2D1E" w14:textId="3EC2DE87" w:rsidR="00982F55" w:rsidRPr="001F044F" w:rsidRDefault="00E06AA3" w:rsidP="00982F55">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lang w:val="fr-FR"/>
        </w:rPr>
        <w:t xml:space="preserve">2. </w:t>
      </w:r>
      <w:r w:rsidR="00982F55" w:rsidRPr="001F044F">
        <w:rPr>
          <w:rFonts w:ascii="Times New Roman" w:hAnsi="Times New Roman" w:cs="Times New Roman"/>
          <w:sz w:val="24"/>
          <w:szCs w:val="24"/>
          <w:lang w:val="fr-FR"/>
        </w:rPr>
        <w:t xml:space="preserve">Romero, R., Avila, C., Brekus, C. A., &amp; Morotti, R. (1991). </w:t>
      </w:r>
      <w:r w:rsidR="00982F55" w:rsidRPr="001F044F">
        <w:rPr>
          <w:rFonts w:ascii="Times New Roman" w:hAnsi="Times New Roman" w:cs="Times New Roman"/>
          <w:sz w:val="24"/>
          <w:szCs w:val="24"/>
        </w:rPr>
        <w:t xml:space="preserve">The Role of Systemic and Intrauterine Infection in Preterm Parturition. </w:t>
      </w:r>
      <w:r w:rsidR="00982F55" w:rsidRPr="001F044F">
        <w:rPr>
          <w:rFonts w:ascii="Times New Roman" w:hAnsi="Times New Roman" w:cs="Times New Roman"/>
          <w:i/>
          <w:sz w:val="24"/>
          <w:szCs w:val="24"/>
        </w:rPr>
        <w:t>Annals of the New York Academy of Sciences</w:t>
      </w:r>
      <w:r w:rsidR="00982F55" w:rsidRPr="001F044F">
        <w:rPr>
          <w:rFonts w:ascii="Times New Roman" w:hAnsi="Times New Roman" w:cs="Times New Roman"/>
          <w:sz w:val="24"/>
          <w:szCs w:val="24"/>
        </w:rPr>
        <w:t>,</w:t>
      </w:r>
      <w:r w:rsidR="00982F55" w:rsidRPr="001F044F">
        <w:rPr>
          <w:rFonts w:ascii="Times New Roman" w:hAnsi="Times New Roman" w:cs="Times New Roman"/>
          <w:i/>
          <w:sz w:val="24"/>
          <w:szCs w:val="24"/>
        </w:rPr>
        <w:t xml:space="preserve"> </w:t>
      </w:r>
      <w:r w:rsidR="00982F55" w:rsidRPr="001F044F">
        <w:rPr>
          <w:rFonts w:ascii="Times New Roman" w:hAnsi="Times New Roman" w:cs="Times New Roman"/>
          <w:b/>
          <w:bCs/>
          <w:iCs/>
          <w:sz w:val="24"/>
          <w:szCs w:val="24"/>
        </w:rPr>
        <w:t>622</w:t>
      </w:r>
      <w:r w:rsidR="00982F55" w:rsidRPr="001F044F">
        <w:rPr>
          <w:rFonts w:ascii="Times New Roman" w:hAnsi="Times New Roman" w:cs="Times New Roman"/>
          <w:sz w:val="24"/>
          <w:szCs w:val="24"/>
        </w:rPr>
        <w:t xml:space="preserve">, 355-375. </w:t>
      </w:r>
    </w:p>
    <w:p w14:paraId="1B0250FA" w14:textId="7B475A30" w:rsidR="00982F55" w:rsidRPr="001F044F" w:rsidRDefault="00E06AA3" w:rsidP="00982F55">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3. </w:t>
      </w:r>
      <w:r w:rsidR="00982F55" w:rsidRPr="001F044F">
        <w:rPr>
          <w:rFonts w:ascii="Times New Roman" w:hAnsi="Times New Roman" w:cs="Times New Roman"/>
          <w:sz w:val="24"/>
          <w:szCs w:val="24"/>
        </w:rPr>
        <w:t xml:space="preserve">Yoon, B. H. M., PhD, Romero , Roberto MD. (1997). Amniotic fluid cytokines (interleukin-6, tumor necrosis factor-α, interleukin-1β, and interleukin-8) and the risk for the development of bronchopulmonary dysplasia. </w:t>
      </w:r>
      <w:r w:rsidR="00982F55" w:rsidRPr="001F044F">
        <w:rPr>
          <w:rFonts w:ascii="Times New Roman" w:hAnsi="Times New Roman" w:cs="Times New Roman"/>
          <w:i/>
          <w:sz w:val="24"/>
          <w:szCs w:val="24"/>
        </w:rPr>
        <w:t>American Journal of Obstetrics and Gynecology</w:t>
      </w:r>
      <w:r w:rsidR="00982F55" w:rsidRPr="001F044F">
        <w:rPr>
          <w:rFonts w:ascii="Times New Roman" w:hAnsi="Times New Roman" w:cs="Times New Roman"/>
          <w:sz w:val="24"/>
          <w:szCs w:val="24"/>
        </w:rPr>
        <w:t>,</w:t>
      </w:r>
      <w:r w:rsidR="00982F55" w:rsidRPr="001F044F">
        <w:rPr>
          <w:rFonts w:ascii="Times New Roman" w:hAnsi="Times New Roman" w:cs="Times New Roman"/>
          <w:i/>
          <w:sz w:val="24"/>
          <w:szCs w:val="24"/>
        </w:rPr>
        <w:t xml:space="preserve"> </w:t>
      </w:r>
      <w:r w:rsidR="00982F55" w:rsidRPr="001F044F">
        <w:rPr>
          <w:rFonts w:ascii="Times New Roman" w:hAnsi="Times New Roman" w:cs="Times New Roman"/>
          <w:b/>
          <w:bCs/>
          <w:iCs/>
          <w:sz w:val="24"/>
          <w:szCs w:val="24"/>
        </w:rPr>
        <w:t>117</w:t>
      </w:r>
      <w:r w:rsidR="00982F55" w:rsidRPr="001F044F">
        <w:rPr>
          <w:rFonts w:ascii="Times New Roman" w:hAnsi="Times New Roman" w:cs="Times New Roman"/>
          <w:sz w:val="24"/>
          <w:szCs w:val="24"/>
        </w:rPr>
        <w:t xml:space="preserve">, 825-830. </w:t>
      </w:r>
    </w:p>
    <w:p w14:paraId="432FE2C4" w14:textId="48931F0B" w:rsidR="00982F55" w:rsidRPr="001F044F" w:rsidRDefault="00E06AA3" w:rsidP="00982F55">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4. </w:t>
      </w:r>
      <w:r w:rsidR="00982F55" w:rsidRPr="001F044F">
        <w:rPr>
          <w:rFonts w:ascii="Times New Roman" w:hAnsi="Times New Roman" w:cs="Times New Roman"/>
          <w:sz w:val="24"/>
          <w:szCs w:val="24"/>
        </w:rPr>
        <w:t xml:space="preserve">Boyle, A. K., Rinaldi, S. F., Norman, J. E., &amp; Stock, S. J. (2017). Preterm birth: Inflammation, fetal injury and treatment strategies. </w:t>
      </w:r>
      <w:r w:rsidR="00982F55" w:rsidRPr="001F044F">
        <w:rPr>
          <w:rFonts w:ascii="Times New Roman" w:hAnsi="Times New Roman" w:cs="Times New Roman"/>
          <w:i/>
          <w:sz w:val="24"/>
          <w:szCs w:val="24"/>
        </w:rPr>
        <w:t>Journal of Reproductive Immunology</w:t>
      </w:r>
      <w:r w:rsidR="00982F55" w:rsidRPr="001F044F">
        <w:rPr>
          <w:rFonts w:ascii="Times New Roman" w:hAnsi="Times New Roman" w:cs="Times New Roman"/>
          <w:sz w:val="24"/>
          <w:szCs w:val="24"/>
        </w:rPr>
        <w:t>,</w:t>
      </w:r>
      <w:r w:rsidR="00982F55" w:rsidRPr="001F044F">
        <w:rPr>
          <w:rFonts w:ascii="Times New Roman" w:hAnsi="Times New Roman" w:cs="Times New Roman"/>
          <w:i/>
          <w:sz w:val="24"/>
          <w:szCs w:val="24"/>
        </w:rPr>
        <w:t xml:space="preserve"> </w:t>
      </w:r>
      <w:r w:rsidR="00982F55" w:rsidRPr="001F044F">
        <w:rPr>
          <w:rFonts w:ascii="Times New Roman" w:hAnsi="Times New Roman" w:cs="Times New Roman"/>
          <w:b/>
          <w:bCs/>
          <w:iCs/>
          <w:sz w:val="24"/>
          <w:szCs w:val="24"/>
        </w:rPr>
        <w:t>119</w:t>
      </w:r>
      <w:r w:rsidR="00982F55" w:rsidRPr="001F044F">
        <w:rPr>
          <w:rFonts w:ascii="Times New Roman" w:hAnsi="Times New Roman" w:cs="Times New Roman"/>
          <w:sz w:val="24"/>
          <w:szCs w:val="24"/>
        </w:rPr>
        <w:t xml:space="preserve">, 62-66. </w:t>
      </w:r>
    </w:p>
    <w:p w14:paraId="5DCB52F4" w14:textId="142BAB52" w:rsidR="00283999" w:rsidRPr="001F044F" w:rsidRDefault="00E06AA3" w:rsidP="00283999">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5. </w:t>
      </w:r>
      <w:r w:rsidR="00283999" w:rsidRPr="001F044F">
        <w:rPr>
          <w:rFonts w:ascii="Times New Roman" w:hAnsi="Times New Roman" w:cs="Times New Roman"/>
          <w:sz w:val="24"/>
          <w:szCs w:val="24"/>
        </w:rPr>
        <w:t xml:space="preserve">Jung, E., Romero, R., Yeo, L., Diaz-Primera, R., Marin-Concha, J., Para, R., Lopez, A. M., Pacora, P., Gomez-Lopez, N., Yoon, B. H., Kim, C. J., Berry, S. M., &amp; Hsu, C.-D. (2020). The fetal inflammatory response syndrome: the origins of a concept, pathophysiology, diagnosis, and obstetrical implications. </w:t>
      </w:r>
      <w:r w:rsidR="00283999" w:rsidRPr="001F044F">
        <w:rPr>
          <w:rFonts w:ascii="Times New Roman" w:hAnsi="Times New Roman" w:cs="Times New Roman"/>
          <w:i/>
          <w:sz w:val="24"/>
          <w:szCs w:val="24"/>
        </w:rPr>
        <w:t>Seminars in Fetal and Neonatal Medicine</w:t>
      </w:r>
      <w:r w:rsidR="00283999" w:rsidRPr="001F044F">
        <w:rPr>
          <w:rFonts w:ascii="Times New Roman" w:hAnsi="Times New Roman" w:cs="Times New Roman"/>
          <w:sz w:val="24"/>
          <w:szCs w:val="24"/>
        </w:rPr>
        <w:t>,</w:t>
      </w:r>
      <w:r w:rsidR="00283999" w:rsidRPr="001F044F">
        <w:rPr>
          <w:rFonts w:ascii="Times New Roman" w:hAnsi="Times New Roman" w:cs="Times New Roman"/>
          <w:i/>
          <w:sz w:val="24"/>
          <w:szCs w:val="24"/>
        </w:rPr>
        <w:t xml:space="preserve"> </w:t>
      </w:r>
      <w:r w:rsidR="00283999" w:rsidRPr="001F044F">
        <w:rPr>
          <w:rFonts w:ascii="Times New Roman" w:hAnsi="Times New Roman" w:cs="Times New Roman"/>
          <w:b/>
          <w:bCs/>
          <w:iCs/>
          <w:sz w:val="24"/>
          <w:szCs w:val="24"/>
        </w:rPr>
        <w:t>25</w:t>
      </w:r>
      <w:r w:rsidR="00283999" w:rsidRPr="001F044F">
        <w:rPr>
          <w:rFonts w:ascii="Times New Roman" w:hAnsi="Times New Roman" w:cs="Times New Roman"/>
          <w:sz w:val="24"/>
          <w:szCs w:val="24"/>
        </w:rPr>
        <w:t xml:space="preserve">, 101-146. </w:t>
      </w:r>
    </w:p>
    <w:p w14:paraId="03925BA3" w14:textId="368B2FE2" w:rsidR="00283999" w:rsidRPr="001F044F" w:rsidRDefault="00E06AA3" w:rsidP="00283999">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6. </w:t>
      </w:r>
      <w:r w:rsidR="00283999" w:rsidRPr="001F044F">
        <w:rPr>
          <w:rFonts w:ascii="Times New Roman" w:hAnsi="Times New Roman" w:cs="Times New Roman"/>
          <w:sz w:val="24"/>
          <w:szCs w:val="24"/>
        </w:rPr>
        <w:t xml:space="preserve">Goldenberg, R. L., Culhane, J. F., Iams, J. D., &amp; Romero, R. (2008). Epidemiology and causes of preterm birth. </w:t>
      </w:r>
      <w:r w:rsidR="00283999" w:rsidRPr="001F044F">
        <w:rPr>
          <w:rFonts w:ascii="Times New Roman" w:hAnsi="Times New Roman" w:cs="Times New Roman"/>
          <w:i/>
          <w:sz w:val="24"/>
          <w:szCs w:val="24"/>
        </w:rPr>
        <w:t>The Lancet</w:t>
      </w:r>
      <w:r w:rsidR="00283999" w:rsidRPr="001F044F">
        <w:rPr>
          <w:rFonts w:ascii="Times New Roman" w:hAnsi="Times New Roman" w:cs="Times New Roman"/>
          <w:sz w:val="24"/>
          <w:szCs w:val="24"/>
        </w:rPr>
        <w:t>,</w:t>
      </w:r>
      <w:r w:rsidR="00283999" w:rsidRPr="001F044F">
        <w:rPr>
          <w:rFonts w:ascii="Times New Roman" w:hAnsi="Times New Roman" w:cs="Times New Roman"/>
          <w:i/>
          <w:sz w:val="24"/>
          <w:szCs w:val="24"/>
        </w:rPr>
        <w:t xml:space="preserve"> </w:t>
      </w:r>
      <w:r w:rsidR="00283999" w:rsidRPr="001F044F">
        <w:rPr>
          <w:rFonts w:ascii="Times New Roman" w:hAnsi="Times New Roman" w:cs="Times New Roman"/>
          <w:b/>
          <w:bCs/>
          <w:iCs/>
          <w:sz w:val="24"/>
          <w:szCs w:val="24"/>
        </w:rPr>
        <w:t>371</w:t>
      </w:r>
      <w:r w:rsidR="00283999" w:rsidRPr="001F044F">
        <w:rPr>
          <w:rFonts w:ascii="Times New Roman" w:hAnsi="Times New Roman" w:cs="Times New Roman"/>
          <w:sz w:val="24"/>
          <w:szCs w:val="24"/>
        </w:rPr>
        <w:t xml:space="preserve">, 75-84. </w:t>
      </w:r>
    </w:p>
    <w:p w14:paraId="67A744A3" w14:textId="142C9124" w:rsidR="00283999" w:rsidRPr="001F044F" w:rsidRDefault="00E06AA3" w:rsidP="00283999">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7. </w:t>
      </w:r>
      <w:r w:rsidR="00283999" w:rsidRPr="001F044F">
        <w:rPr>
          <w:rFonts w:ascii="Times New Roman" w:hAnsi="Times New Roman" w:cs="Times New Roman"/>
          <w:sz w:val="24"/>
          <w:szCs w:val="24"/>
        </w:rPr>
        <w:t xml:space="preserve">Tita, A. T. N., &amp; Andrews, W. W. (2010). Diagnosis and Management of Clinical Chorioamnionitis. </w:t>
      </w:r>
      <w:r w:rsidR="00283999" w:rsidRPr="001F044F">
        <w:rPr>
          <w:rFonts w:ascii="Times New Roman" w:hAnsi="Times New Roman" w:cs="Times New Roman"/>
          <w:i/>
          <w:sz w:val="24"/>
          <w:szCs w:val="24"/>
        </w:rPr>
        <w:t>Clinics in Perinatology</w:t>
      </w:r>
      <w:r w:rsidR="00283999" w:rsidRPr="001F044F">
        <w:rPr>
          <w:rFonts w:ascii="Times New Roman" w:hAnsi="Times New Roman" w:cs="Times New Roman"/>
          <w:sz w:val="24"/>
          <w:szCs w:val="24"/>
        </w:rPr>
        <w:t>,</w:t>
      </w:r>
      <w:r w:rsidR="00283999" w:rsidRPr="001F044F">
        <w:rPr>
          <w:rFonts w:ascii="Times New Roman" w:hAnsi="Times New Roman" w:cs="Times New Roman"/>
          <w:i/>
          <w:sz w:val="24"/>
          <w:szCs w:val="24"/>
        </w:rPr>
        <w:t xml:space="preserve"> </w:t>
      </w:r>
      <w:r w:rsidR="00283999" w:rsidRPr="001F044F">
        <w:rPr>
          <w:rFonts w:ascii="Times New Roman" w:hAnsi="Times New Roman" w:cs="Times New Roman"/>
          <w:b/>
          <w:bCs/>
          <w:iCs/>
          <w:sz w:val="24"/>
          <w:szCs w:val="24"/>
        </w:rPr>
        <w:t>37</w:t>
      </w:r>
      <w:r w:rsidR="00283999" w:rsidRPr="001F044F">
        <w:rPr>
          <w:rFonts w:ascii="Times New Roman" w:hAnsi="Times New Roman" w:cs="Times New Roman"/>
          <w:sz w:val="24"/>
          <w:szCs w:val="24"/>
        </w:rPr>
        <w:t xml:space="preserve">, 339-354. </w:t>
      </w:r>
    </w:p>
    <w:p w14:paraId="0FE40DC2" w14:textId="385DB28E" w:rsidR="00E56BAD" w:rsidRPr="001F044F" w:rsidRDefault="00E06AA3" w:rsidP="00E56BAD">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8. </w:t>
      </w:r>
      <w:r w:rsidR="00E56BAD" w:rsidRPr="001F044F">
        <w:rPr>
          <w:rFonts w:ascii="Times New Roman" w:hAnsi="Times New Roman" w:cs="Times New Roman"/>
          <w:sz w:val="24"/>
          <w:szCs w:val="24"/>
        </w:rPr>
        <w:t xml:space="preserve">Buhimschi, C., Turan, O., Funai, E., Azpura, H., Bahtiyar, M., Turan, S., Zhao, G., Dulay, A., Bhandari, V., Copel, J., &amp; Buhimschi, I. (2008). Fetal Adrenal Gland Volume and Cortisol/Dehydroepiandrosterone Sulfate Ratio in Inflammation-Associated Preterm Birth. </w:t>
      </w:r>
      <w:r w:rsidR="00E56BAD" w:rsidRPr="001F044F">
        <w:rPr>
          <w:rFonts w:ascii="Times New Roman" w:hAnsi="Times New Roman" w:cs="Times New Roman"/>
          <w:i/>
          <w:sz w:val="24"/>
          <w:szCs w:val="24"/>
        </w:rPr>
        <w:t>Obstetrics &amp; Gynecology</w:t>
      </w:r>
      <w:r w:rsidR="00E56BAD" w:rsidRPr="001F044F">
        <w:rPr>
          <w:rFonts w:ascii="Times New Roman" w:hAnsi="Times New Roman" w:cs="Times New Roman"/>
          <w:sz w:val="24"/>
          <w:szCs w:val="24"/>
        </w:rPr>
        <w:t>,</w:t>
      </w:r>
      <w:r w:rsidR="00E56BAD" w:rsidRPr="001F044F">
        <w:rPr>
          <w:rFonts w:ascii="Times New Roman" w:hAnsi="Times New Roman" w:cs="Times New Roman"/>
          <w:i/>
          <w:sz w:val="24"/>
          <w:szCs w:val="24"/>
        </w:rPr>
        <w:t xml:space="preserve"> </w:t>
      </w:r>
      <w:r w:rsidR="00E56BAD" w:rsidRPr="001F044F">
        <w:rPr>
          <w:rFonts w:ascii="Times New Roman" w:hAnsi="Times New Roman" w:cs="Times New Roman"/>
          <w:b/>
          <w:bCs/>
          <w:iCs/>
          <w:sz w:val="24"/>
          <w:szCs w:val="24"/>
        </w:rPr>
        <w:t>111</w:t>
      </w:r>
      <w:r w:rsidR="00E56BAD" w:rsidRPr="001F044F">
        <w:rPr>
          <w:rFonts w:ascii="Times New Roman" w:hAnsi="Times New Roman" w:cs="Times New Roman"/>
          <w:sz w:val="24"/>
          <w:szCs w:val="24"/>
        </w:rPr>
        <w:t xml:space="preserve">, 715-722. </w:t>
      </w:r>
    </w:p>
    <w:p w14:paraId="0B6191F8" w14:textId="6A66A16C" w:rsidR="007457C8" w:rsidRPr="001F044F" w:rsidRDefault="00E06AA3" w:rsidP="007457C8">
      <w:pPr>
        <w:pStyle w:val="EndNoteBibliography"/>
        <w:ind w:left="720" w:hanging="720"/>
        <w:rPr>
          <w:rFonts w:ascii="Times New Roman" w:hAnsi="Times New Roman" w:cs="Times New Roman"/>
          <w:sz w:val="24"/>
          <w:szCs w:val="24"/>
        </w:rPr>
      </w:pPr>
      <w:r>
        <w:rPr>
          <w:rFonts w:ascii="Times New Roman" w:hAnsi="Times New Roman" w:cs="Times New Roman"/>
          <w:sz w:val="24"/>
          <w:szCs w:val="24"/>
        </w:rPr>
        <w:t xml:space="preserve">9. </w:t>
      </w:r>
      <w:r w:rsidR="007457C8" w:rsidRPr="001F044F">
        <w:rPr>
          <w:rFonts w:ascii="Times New Roman" w:hAnsi="Times New Roman" w:cs="Times New Roman"/>
          <w:sz w:val="24"/>
          <w:szCs w:val="24"/>
        </w:rPr>
        <w:t xml:space="preserve">Zhang, Z., Meng, H., Hou, Z., Ma, J., Feng, L., Lin, X., Tang, Y., Zhang, X., Liu, Q., &amp; Liu, S. (2013). Fetal Adrenal Gland in the Second Half of Gestation: Morphometrical Assessment with 3.0T Post-Mortem MRI. </w:t>
      </w:r>
      <w:r w:rsidR="007457C8" w:rsidRPr="001F044F">
        <w:rPr>
          <w:rFonts w:ascii="Times New Roman" w:hAnsi="Times New Roman" w:cs="Times New Roman"/>
          <w:i/>
          <w:sz w:val="24"/>
          <w:szCs w:val="24"/>
        </w:rPr>
        <w:t>PLoS ONE</w:t>
      </w:r>
      <w:r w:rsidR="007457C8" w:rsidRPr="001F044F">
        <w:rPr>
          <w:rFonts w:ascii="Times New Roman" w:hAnsi="Times New Roman" w:cs="Times New Roman"/>
          <w:sz w:val="24"/>
          <w:szCs w:val="24"/>
        </w:rPr>
        <w:t>,</w:t>
      </w:r>
      <w:r w:rsidR="007457C8" w:rsidRPr="001F044F">
        <w:rPr>
          <w:rFonts w:ascii="Times New Roman" w:hAnsi="Times New Roman" w:cs="Times New Roman"/>
          <w:i/>
          <w:sz w:val="24"/>
          <w:szCs w:val="24"/>
        </w:rPr>
        <w:t xml:space="preserve"> </w:t>
      </w:r>
      <w:r w:rsidR="007457C8" w:rsidRPr="001F044F">
        <w:rPr>
          <w:rFonts w:ascii="Times New Roman" w:hAnsi="Times New Roman" w:cs="Times New Roman"/>
          <w:b/>
          <w:bCs/>
          <w:iCs/>
          <w:sz w:val="24"/>
          <w:szCs w:val="24"/>
        </w:rPr>
        <w:t>8</w:t>
      </w:r>
      <w:r w:rsidR="007457C8" w:rsidRPr="001F044F">
        <w:rPr>
          <w:rFonts w:ascii="Times New Roman" w:hAnsi="Times New Roman" w:cs="Times New Roman"/>
          <w:sz w:val="24"/>
          <w:szCs w:val="24"/>
        </w:rPr>
        <w:t>.</w:t>
      </w:r>
    </w:p>
    <w:p w14:paraId="51AF99A1" w14:textId="77777777" w:rsidR="00982F55" w:rsidRPr="00A717F9" w:rsidRDefault="00982F55">
      <w:pPr>
        <w:rPr>
          <w:rFonts w:ascii="Times New Roman" w:hAnsi="Times New Roman" w:cs="Times New Roman"/>
          <w:lang w:val="en-US"/>
        </w:rPr>
      </w:pPr>
    </w:p>
    <w:sectPr w:rsidR="00982F55" w:rsidRPr="00A717F9" w:rsidSect="00842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20C"/>
    <w:rsid w:val="001F044F"/>
    <w:rsid w:val="00236E84"/>
    <w:rsid w:val="00283999"/>
    <w:rsid w:val="0032017A"/>
    <w:rsid w:val="003E78FA"/>
    <w:rsid w:val="007457C8"/>
    <w:rsid w:val="007D3EA6"/>
    <w:rsid w:val="007F7516"/>
    <w:rsid w:val="0084243A"/>
    <w:rsid w:val="00844C49"/>
    <w:rsid w:val="008A78BB"/>
    <w:rsid w:val="00982F55"/>
    <w:rsid w:val="00A717F9"/>
    <w:rsid w:val="00C5366A"/>
    <w:rsid w:val="00E06AA3"/>
    <w:rsid w:val="00E5320C"/>
    <w:rsid w:val="00E56BAD"/>
    <w:rsid w:val="00EA41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70416"/>
  <w15:chartTrackingRefBased/>
  <w15:docId w15:val="{B1C165B5-C8C0-4055-B131-F8997BB7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20C"/>
  </w:style>
  <w:style w:type="paragraph" w:styleId="Heading1">
    <w:name w:val="heading 1"/>
    <w:basedOn w:val="Normal"/>
    <w:next w:val="Normal"/>
    <w:link w:val="Heading1Char"/>
    <w:uiPriority w:val="9"/>
    <w:qFormat/>
    <w:rsid w:val="00C536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41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2F55"/>
    <w:rPr>
      <w:color w:val="0000FF"/>
      <w:u w:val="single"/>
    </w:rPr>
  </w:style>
  <w:style w:type="paragraph" w:customStyle="1" w:styleId="EndNoteBibliography">
    <w:name w:val="EndNote Bibliography"/>
    <w:basedOn w:val="Normal"/>
    <w:link w:val="EndNoteBibliographyChar"/>
    <w:rsid w:val="00982F5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82F55"/>
    <w:rPr>
      <w:rFonts w:ascii="Calibri" w:hAnsi="Calibri" w:cs="Calibri"/>
      <w:noProof/>
      <w:lang w:val="en-US"/>
    </w:rPr>
  </w:style>
  <w:style w:type="character" w:customStyle="1" w:styleId="Heading1Char">
    <w:name w:val="Heading 1 Char"/>
    <w:basedOn w:val="DefaultParagraphFont"/>
    <w:link w:val="Heading1"/>
    <w:uiPriority w:val="9"/>
    <w:rsid w:val="00C5366A"/>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EA41DB"/>
    <w:rPr>
      <w:i/>
      <w:iCs/>
    </w:rPr>
  </w:style>
  <w:style w:type="character" w:customStyle="1" w:styleId="Heading2Char">
    <w:name w:val="Heading 2 Char"/>
    <w:basedOn w:val="DefaultParagraphFont"/>
    <w:link w:val="Heading2"/>
    <w:uiPriority w:val="9"/>
    <w:rsid w:val="00EA41D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s.gov.uk/peoplepopulationandcommunity/birthsdeathsandmarriages/livebirths/bulletins/birthcharacteristicsinenglandandwales/2020"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du Crest</dc:creator>
  <cp:keywords/>
  <dc:description/>
  <cp:lastModifiedBy>Elise du Crest</cp:lastModifiedBy>
  <cp:revision>16</cp:revision>
  <dcterms:created xsi:type="dcterms:W3CDTF">2022-05-03T18:59:00Z</dcterms:created>
  <dcterms:modified xsi:type="dcterms:W3CDTF">2022-05-07T10:42:00Z</dcterms:modified>
</cp:coreProperties>
</file>