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6BE" w:rsidRDefault="005D4B9F">
      <w:pPr>
        <w:pStyle w:val="Title"/>
        <w:spacing w:line="465" w:lineRule="auto"/>
      </w:pPr>
      <w:r>
        <w:rPr>
          <w:color w:val="000007"/>
        </w:rPr>
        <w:t>Improve suicidality treatment: a new tool to evaluate therapists’ postsession emotional state</w:t>
      </w:r>
    </w:p>
    <w:p w:rsidR="00FE26BE" w:rsidRDefault="005D4B9F">
      <w:pPr>
        <w:pStyle w:val="BodyText"/>
        <w:spacing w:before="196" w:line="309" w:lineRule="auto"/>
        <w:ind w:left="3360" w:right="3012" w:hanging="7"/>
        <w:jc w:val="center"/>
      </w:pPr>
      <w:bookmarkStart w:id="0" w:name="_GoBack"/>
      <w:r>
        <w:rPr>
          <w:color w:val="000007"/>
        </w:rPr>
        <w:t xml:space="preserve">Mingcong Tang </w:t>
      </w:r>
      <w:bookmarkEnd w:id="0"/>
      <w:r>
        <w:rPr>
          <w:color w:val="000007"/>
        </w:rPr>
        <w:t>Department of Psychology</w:t>
      </w:r>
    </w:p>
    <w:p w:rsidR="00FE26BE" w:rsidRDefault="005D4B9F">
      <w:pPr>
        <w:pStyle w:val="BodyText"/>
        <w:spacing w:before="1"/>
        <w:ind w:left="2738" w:right="2391" w:firstLine="0"/>
        <w:jc w:val="center"/>
      </w:pPr>
      <w:r>
        <w:rPr>
          <w:color w:val="000007"/>
        </w:rPr>
        <w:t>Southwest University, Chongqing, China</w:t>
      </w:r>
    </w:p>
    <w:p w:rsidR="00FE26BE" w:rsidRDefault="00FE26BE">
      <w:pPr>
        <w:pStyle w:val="BodyText"/>
        <w:spacing w:before="0"/>
        <w:ind w:left="0" w:firstLine="0"/>
        <w:rPr>
          <w:sz w:val="22"/>
        </w:rPr>
      </w:pPr>
    </w:p>
    <w:p w:rsidR="00FE26BE" w:rsidRDefault="005D4B9F">
      <w:pPr>
        <w:pStyle w:val="BodyText"/>
        <w:spacing w:before="129" w:line="309" w:lineRule="auto"/>
        <w:ind w:left="120" w:right="112" w:firstLine="420"/>
        <w:jc w:val="both"/>
      </w:pPr>
      <w:r>
        <w:rPr>
          <w:color w:val="000007"/>
        </w:rPr>
        <w:t>Patient suicidality is fairly common in psychotherapeutic practice. Approximately 50—95%  of clinicians report having experienced patients with some form of suicidal ideation or behavior, which has been recognized as an “occupational hazard”. Suicidal pati</w:t>
      </w:r>
      <w:r>
        <w:rPr>
          <w:color w:val="000007"/>
        </w:rPr>
        <w:t>ents are likely to evoke negative reactions in therapists, which is usually termed countertransference. More specifically, scientific evidence about the therapist’s countertransference towards suicidal patients suggests that it involves negative emotions s</w:t>
      </w:r>
      <w:r>
        <w:rPr>
          <w:color w:val="000007"/>
        </w:rPr>
        <w:t>uch as anxiety, anger, tension, hopelessness, fear or embarrassment, disinterest, confusion, overwhelmed, entrapment, and rejection. On the other hand, therapists’ reactions to patients could powerfully influence treatment outcomes. Particularly, feared sc</w:t>
      </w:r>
      <w:r>
        <w:rPr>
          <w:color w:val="000007"/>
        </w:rPr>
        <w:t>enarios, including losing a patient to suicide, the wrath of surviving family members, lawsuits, reactions of colleagues, and feelings of guilt and inadequacy, represent a widespread therapeutic feeling and interfere with their ability to work. For example</w:t>
      </w:r>
      <w:r>
        <w:rPr>
          <w:color w:val="000007"/>
        </w:rPr>
        <w:t>, an inadequate assessment of the patient’s inner activities may lead to countertransference reactions and alliance ruptures. Therefore, psychotherapists’ recognition of concrete emotional patterns in sessions where patients seem at  risk for suicide is</w:t>
      </w:r>
      <w:r>
        <w:rPr>
          <w:color w:val="000007"/>
          <w:spacing w:val="-1"/>
        </w:rPr>
        <w:t xml:space="preserve"> </w:t>
      </w:r>
      <w:r>
        <w:rPr>
          <w:color w:val="000007"/>
        </w:rPr>
        <w:t>es</w:t>
      </w:r>
      <w:r>
        <w:rPr>
          <w:color w:val="000007"/>
        </w:rPr>
        <w:t>sential.</w:t>
      </w:r>
    </w:p>
    <w:p w:rsidR="00FE26BE" w:rsidRDefault="00FE26BE">
      <w:pPr>
        <w:pStyle w:val="BodyText"/>
        <w:spacing w:before="9"/>
        <w:ind w:left="0" w:firstLine="0"/>
        <w:rPr>
          <w:sz w:val="27"/>
        </w:rPr>
      </w:pPr>
    </w:p>
    <w:p w:rsidR="00FE26BE" w:rsidRDefault="005D4B9F">
      <w:pPr>
        <w:pStyle w:val="BodyText"/>
        <w:spacing w:before="0" w:line="309" w:lineRule="auto"/>
        <w:ind w:left="120" w:right="162" w:firstLine="420"/>
        <w:jc w:val="both"/>
      </w:pPr>
      <w:r>
        <w:rPr>
          <w:color w:val="000007"/>
        </w:rPr>
        <w:t>However, previous study designs, settings, measurements of countertransference, and suicidality contain wide heterogeneity, making a quantitative synthesis of findings difficult. How patients state their problems are hard to evaluate during the f</w:t>
      </w:r>
      <w:r>
        <w:rPr>
          <w:color w:val="000007"/>
        </w:rPr>
        <w:t>ace-to-face real session. Thus, a new assessment tool for therapists’ emotional state after sessions in which suicidality was addressed allows for a concrete intervention and prevention to ensure both therapists’ and patients’ mental health. Apart from neg</w:t>
      </w:r>
      <w:r>
        <w:rPr>
          <w:color w:val="000007"/>
        </w:rPr>
        <w:t>ative feelings arising during therapeutic sessions, prior research also found that suicidal patients can elicit therapists’ engagement and fulfillment. This implies that patient suicidality does not always have to be emotionally burdening for therapists. C</w:t>
      </w:r>
      <w:r>
        <w:rPr>
          <w:color w:val="000007"/>
        </w:rPr>
        <w:t>linicians’ feelings of definite and self-efficacy can in turn enable the management of a challenging and tricky situation. Additionally, suicidal ideation is not always a reason for an alarm, and it can overshadow other important issues that should be addr</w:t>
      </w:r>
      <w:r>
        <w:rPr>
          <w:color w:val="000007"/>
        </w:rPr>
        <w:t>essed in psychotherapy. In addition to evaluation, scales or questionnaires themselves have somewhat therapeutic effects.</w:t>
      </w:r>
    </w:p>
    <w:p w:rsidR="00FE26BE" w:rsidRDefault="00FE26BE">
      <w:pPr>
        <w:pStyle w:val="BodyText"/>
        <w:spacing w:before="7"/>
        <w:ind w:left="0" w:firstLine="0"/>
        <w:rPr>
          <w:sz w:val="27"/>
        </w:rPr>
      </w:pPr>
    </w:p>
    <w:p w:rsidR="00FE26BE" w:rsidRDefault="005D4B9F">
      <w:pPr>
        <w:pStyle w:val="BodyText"/>
        <w:spacing w:before="0" w:line="309" w:lineRule="auto"/>
        <w:ind w:left="120" w:right="164" w:firstLine="420"/>
        <w:jc w:val="both"/>
      </w:pPr>
      <w:r>
        <w:rPr>
          <w:color w:val="000007"/>
        </w:rPr>
        <w:t>On top of that, a wide range of factors contributes to the therapeutic effects of sessions, including patient-therapist relationship,</w:t>
      </w:r>
      <w:r>
        <w:rPr>
          <w:color w:val="000007"/>
        </w:rPr>
        <w:t xml:space="preserve"> comorbid psychiatric disorders, effects of previous experience with a suicidal patient, previous training/professional experience, populations characteristics (e.g., children, elderly, adolescents; career, education), treatment structure, etc.</w:t>
      </w:r>
    </w:p>
    <w:p w:rsidR="00FE26BE" w:rsidRDefault="00FE26BE">
      <w:pPr>
        <w:pStyle w:val="BodyText"/>
        <w:spacing w:before="3"/>
        <w:ind w:left="0" w:firstLine="0"/>
        <w:rPr>
          <w:sz w:val="27"/>
        </w:rPr>
      </w:pPr>
    </w:p>
    <w:p w:rsidR="00FE26BE" w:rsidRDefault="005D4B9F">
      <w:pPr>
        <w:pStyle w:val="BodyText"/>
        <w:spacing w:before="1" w:line="309" w:lineRule="auto"/>
        <w:ind w:left="120" w:right="170" w:firstLine="420"/>
        <w:jc w:val="both"/>
      </w:pPr>
      <w:r>
        <w:rPr>
          <w:color w:val="000007"/>
        </w:rPr>
        <w:t>Taken together, based on patients’ characteristics (e.g., age, education attainment, etc.) and therapists’ personality, and organized under psychodynamic and cognitive-behavioral perspective,</w:t>
      </w:r>
    </w:p>
    <w:p w:rsidR="00FE26BE" w:rsidRDefault="00FE26BE">
      <w:pPr>
        <w:spacing w:line="309" w:lineRule="auto"/>
        <w:jc w:val="both"/>
        <w:sectPr w:rsidR="00FE26BE">
          <w:footerReference w:type="default" r:id="rId8"/>
          <w:type w:val="continuous"/>
          <w:pgSz w:w="11910" w:h="16840"/>
          <w:pgMar w:top="1500" w:right="1600" w:bottom="1180" w:left="1680" w:header="720" w:footer="997" w:gutter="0"/>
          <w:pgNumType w:start="1"/>
          <w:cols w:space="720"/>
        </w:sectPr>
      </w:pPr>
    </w:p>
    <w:p w:rsidR="00FE26BE" w:rsidRDefault="005D4B9F">
      <w:pPr>
        <w:pStyle w:val="BodyText"/>
        <w:spacing w:before="77" w:line="309" w:lineRule="auto"/>
        <w:ind w:left="120" w:right="159" w:firstLine="0"/>
        <w:jc w:val="both"/>
      </w:pPr>
      <w:r>
        <w:rPr>
          <w:color w:val="000007"/>
        </w:rPr>
        <w:lastRenderedPageBreak/>
        <w:t>we aim to develop a reliable assessment tool to evaluate therapists’ subjective postsession mood, complemented by psychophysiological measures (e.g., saliva cortisol level or electrodermal skin response). I</w:t>
      </w:r>
      <w:r>
        <w:rPr>
          <w:color w:val="000007"/>
        </w:rPr>
        <w:t>n this new tool, we ask therapists thought-provoking questions, attempting to promote their self-awareness and reflection of their emotional state, feelings, and attitudes. Different from the existing questionnaires, we spacially create items to explore th</w:t>
      </w:r>
      <w:r>
        <w:rPr>
          <w:color w:val="000007"/>
        </w:rPr>
        <w:t>erapists’ positive emotional resources that can be used in the following sessions. To validate our newly devised measures, we design a prospective study to examine its reminding and therapeutic effects between sessions within the patient-therapist dyad, us</w:t>
      </w:r>
      <w:r>
        <w:rPr>
          <w:color w:val="000007"/>
        </w:rPr>
        <w:t>ing the Actor-Partner Interdependence Model (APIM). Further examination is needed concerning the cultural background and therapists’ training background.</w:t>
      </w:r>
    </w:p>
    <w:p w:rsidR="00FE26BE" w:rsidRDefault="00FE26BE">
      <w:pPr>
        <w:pStyle w:val="BodyText"/>
        <w:spacing w:before="0"/>
        <w:ind w:left="0" w:firstLine="0"/>
        <w:rPr>
          <w:sz w:val="22"/>
        </w:rPr>
      </w:pPr>
    </w:p>
    <w:p w:rsidR="00FE26BE" w:rsidRDefault="00FE26BE">
      <w:pPr>
        <w:pStyle w:val="BodyText"/>
        <w:spacing w:before="7"/>
        <w:ind w:left="0" w:firstLine="0"/>
        <w:rPr>
          <w:sz w:val="32"/>
        </w:rPr>
      </w:pPr>
    </w:p>
    <w:p w:rsidR="00FE26BE" w:rsidRDefault="005D4B9F">
      <w:pPr>
        <w:spacing w:before="1"/>
        <w:ind w:left="120"/>
        <w:rPr>
          <w:b/>
          <w:sz w:val="21"/>
        </w:rPr>
      </w:pPr>
      <w:r>
        <w:rPr>
          <w:b/>
          <w:color w:val="000007"/>
          <w:sz w:val="21"/>
        </w:rPr>
        <w:t>Reference</w:t>
      </w:r>
    </w:p>
    <w:p w:rsidR="00FE26BE" w:rsidRDefault="005D4B9F">
      <w:pPr>
        <w:pStyle w:val="ListParagraph"/>
        <w:numPr>
          <w:ilvl w:val="0"/>
          <w:numId w:val="1"/>
        </w:numPr>
        <w:tabs>
          <w:tab w:val="left" w:pos="539"/>
          <w:tab w:val="left" w:pos="540"/>
        </w:tabs>
        <w:spacing w:before="70" w:line="309" w:lineRule="auto"/>
        <w:ind w:right="661"/>
        <w:rPr>
          <w:sz w:val="21"/>
        </w:rPr>
      </w:pPr>
      <w:r>
        <w:rPr>
          <w:color w:val="000007"/>
          <w:sz w:val="21"/>
        </w:rPr>
        <w:t>Aherne, C., Coughlan, B., &amp;</w:t>
      </w:r>
      <w:r>
        <w:rPr>
          <w:color w:val="000007"/>
          <w:sz w:val="21"/>
        </w:rPr>
        <w:t xml:space="preserve"> Surgenor, P. (2018). Therapists’ perspectives on suicide: A conceptual model of connectedness. </w:t>
      </w:r>
      <w:r>
        <w:rPr>
          <w:i/>
          <w:color w:val="000007"/>
          <w:sz w:val="21"/>
        </w:rPr>
        <w:t>Psychotherapy Research, 28</w:t>
      </w:r>
      <w:r>
        <w:rPr>
          <w:color w:val="000007"/>
          <w:sz w:val="21"/>
        </w:rPr>
        <w:t>(5), 803–819. APA PsycInfo®.</w:t>
      </w:r>
      <w:r>
        <w:rPr>
          <w:color w:val="0000FF"/>
          <w:spacing w:val="-1"/>
          <w:sz w:val="21"/>
        </w:rPr>
        <w:t xml:space="preserve"> </w:t>
      </w:r>
      <w:hyperlink r:id="rId9">
        <w:r>
          <w:rPr>
            <w:color w:val="0000FF"/>
            <w:sz w:val="21"/>
            <w:u w:val="single" w:color="0000FF"/>
          </w:rPr>
          <w:t>https://doi.org/10.1080/10503307.2017.13</w:t>
        </w:r>
        <w:r>
          <w:rPr>
            <w:color w:val="0000FF"/>
            <w:sz w:val="21"/>
            <w:u w:val="single" w:color="0000FF"/>
          </w:rPr>
          <w:t>59428</w:t>
        </w:r>
      </w:hyperlink>
    </w:p>
    <w:p w:rsidR="00FE26BE" w:rsidRDefault="005D4B9F">
      <w:pPr>
        <w:pStyle w:val="ListParagraph"/>
        <w:numPr>
          <w:ilvl w:val="0"/>
          <w:numId w:val="1"/>
        </w:numPr>
        <w:tabs>
          <w:tab w:val="left" w:pos="539"/>
          <w:tab w:val="left" w:pos="540"/>
        </w:tabs>
        <w:spacing w:before="1" w:line="309" w:lineRule="auto"/>
        <w:ind w:right="405"/>
        <w:rPr>
          <w:sz w:val="21"/>
        </w:rPr>
      </w:pPr>
      <w:r>
        <w:rPr>
          <w:color w:val="000007"/>
          <w:sz w:val="21"/>
        </w:rPr>
        <w:t xml:space="preserve">Boswell, J. F., Constantino, M. J., Coyne, A. E., &amp; Kraus, D. R. (2022). For whom does a match matter most? Patient-level moderators of evidence-based patient–therapist matching. </w:t>
      </w:r>
      <w:r>
        <w:rPr>
          <w:i/>
          <w:color w:val="000007"/>
          <w:sz w:val="21"/>
        </w:rPr>
        <w:t>Journal of Consulting and Clinical Psychology, 90</w:t>
      </w:r>
      <w:r>
        <w:rPr>
          <w:color w:val="000007"/>
          <w:sz w:val="21"/>
        </w:rPr>
        <w:t>(1), 61–74. APA PsycArticles®.</w:t>
      </w:r>
      <w:hyperlink r:id="rId10">
        <w:r>
          <w:rPr>
            <w:color w:val="0000FF"/>
            <w:sz w:val="21"/>
            <w:u w:val="single" w:color="0000FF"/>
          </w:rPr>
          <w:t xml:space="preserve"> https://doi.org/10.1037/ccp0000644</w:t>
        </w:r>
      </w:hyperlink>
    </w:p>
    <w:p w:rsidR="00FE26BE" w:rsidRDefault="005D4B9F">
      <w:pPr>
        <w:pStyle w:val="ListParagraph"/>
        <w:numPr>
          <w:ilvl w:val="0"/>
          <w:numId w:val="1"/>
        </w:numPr>
        <w:tabs>
          <w:tab w:val="left" w:pos="539"/>
          <w:tab w:val="left" w:pos="540"/>
        </w:tabs>
        <w:spacing w:line="309" w:lineRule="auto"/>
        <w:ind w:right="1054"/>
        <w:rPr>
          <w:sz w:val="21"/>
        </w:rPr>
      </w:pPr>
      <w:r>
        <w:rPr>
          <w:color w:val="000007"/>
          <w:sz w:val="21"/>
        </w:rPr>
        <w:t xml:space="preserve">Chabrol, H., Sztulman, H., &amp; Callahan, S. (1999). Suicidal threats and therapists’ helplessness. </w:t>
      </w:r>
      <w:r>
        <w:rPr>
          <w:i/>
          <w:color w:val="000007"/>
          <w:sz w:val="21"/>
        </w:rPr>
        <w:t>The American Journal of Psychiatry, 156</w:t>
      </w:r>
      <w:r>
        <w:rPr>
          <w:color w:val="000007"/>
          <w:sz w:val="21"/>
        </w:rPr>
        <w:t>(11), 1843. APA</w:t>
      </w:r>
      <w:r>
        <w:rPr>
          <w:color w:val="000007"/>
          <w:spacing w:val="-30"/>
          <w:sz w:val="21"/>
        </w:rPr>
        <w:t xml:space="preserve"> </w:t>
      </w:r>
      <w:r>
        <w:rPr>
          <w:color w:val="000007"/>
          <w:sz w:val="21"/>
        </w:rPr>
        <w:t>PsycInfo®.</w:t>
      </w:r>
    </w:p>
    <w:p w:rsidR="00FE26BE" w:rsidRDefault="005D4B9F">
      <w:pPr>
        <w:pStyle w:val="ListParagraph"/>
        <w:numPr>
          <w:ilvl w:val="0"/>
          <w:numId w:val="1"/>
        </w:numPr>
        <w:tabs>
          <w:tab w:val="left" w:pos="539"/>
          <w:tab w:val="left" w:pos="540"/>
        </w:tabs>
        <w:spacing w:before="1" w:line="309" w:lineRule="auto"/>
        <w:ind w:right="298"/>
        <w:rPr>
          <w:sz w:val="21"/>
        </w:rPr>
      </w:pPr>
      <w:r>
        <w:rPr>
          <w:color w:val="000007"/>
          <w:sz w:val="21"/>
        </w:rPr>
        <w:t xml:space="preserve">Delgadillo, J., Rubel, J., &amp; Barkham, M. (2020). Towards personalized allocation of patients to therapists. </w:t>
      </w:r>
      <w:r>
        <w:rPr>
          <w:i/>
          <w:color w:val="000007"/>
          <w:sz w:val="21"/>
        </w:rPr>
        <w:t>Journal of Consulting and Clinical Psychology, 88</w:t>
      </w:r>
      <w:r>
        <w:rPr>
          <w:color w:val="000007"/>
          <w:sz w:val="21"/>
        </w:rPr>
        <w:t>(9), 799–808. APA PsycArticles®.</w:t>
      </w:r>
      <w:r>
        <w:rPr>
          <w:color w:val="0000FF"/>
          <w:spacing w:val="-3"/>
          <w:sz w:val="21"/>
        </w:rPr>
        <w:t xml:space="preserve"> </w:t>
      </w:r>
      <w:hyperlink r:id="rId11">
        <w:r>
          <w:rPr>
            <w:color w:val="0000FF"/>
            <w:sz w:val="21"/>
            <w:u w:val="single" w:color="0000FF"/>
          </w:rPr>
          <w:t>https://doi.org/10.1037/ccp0000507</w:t>
        </w:r>
      </w:hyperlink>
    </w:p>
    <w:p w:rsidR="00FE26BE" w:rsidRDefault="005D4B9F">
      <w:pPr>
        <w:pStyle w:val="ListParagraph"/>
        <w:numPr>
          <w:ilvl w:val="0"/>
          <w:numId w:val="1"/>
        </w:numPr>
        <w:tabs>
          <w:tab w:val="left" w:pos="539"/>
          <w:tab w:val="left" w:pos="540"/>
        </w:tabs>
        <w:spacing w:line="309" w:lineRule="auto"/>
        <w:ind w:right="522"/>
        <w:rPr>
          <w:sz w:val="21"/>
        </w:rPr>
      </w:pPr>
      <w:r>
        <w:rPr>
          <w:color w:val="000007"/>
          <w:sz w:val="21"/>
        </w:rPr>
        <w:t xml:space="preserve">Ellis, T. E., Schwartz, J. A. J., &amp; Rufino, K. A. (2018). Negative reactions of therapists working with suicidal patients: A CBT/mindfulness perspective on “countertransference.” </w:t>
      </w:r>
      <w:r>
        <w:rPr>
          <w:i/>
          <w:color w:val="000007"/>
          <w:sz w:val="21"/>
        </w:rPr>
        <w:t>International Journal of Co</w:t>
      </w:r>
      <w:r>
        <w:rPr>
          <w:i/>
          <w:color w:val="000007"/>
          <w:sz w:val="21"/>
        </w:rPr>
        <w:t>gnitive Therapy, 11</w:t>
      </w:r>
      <w:r>
        <w:rPr>
          <w:color w:val="000007"/>
          <w:sz w:val="21"/>
        </w:rPr>
        <w:t>(1), 80–99. APA PsycInfo®.</w:t>
      </w:r>
      <w:hyperlink r:id="rId12">
        <w:r>
          <w:rPr>
            <w:color w:val="0000FF"/>
            <w:sz w:val="21"/>
            <w:u w:val="single" w:color="0000FF"/>
          </w:rPr>
          <w:t xml:space="preserve"> https://doi.org/10.1007/s41811-018-0005-1</w:t>
        </w:r>
      </w:hyperlink>
    </w:p>
    <w:p w:rsidR="00FE26BE" w:rsidRDefault="005D4B9F">
      <w:pPr>
        <w:pStyle w:val="ListParagraph"/>
        <w:numPr>
          <w:ilvl w:val="0"/>
          <w:numId w:val="1"/>
        </w:numPr>
        <w:tabs>
          <w:tab w:val="left" w:pos="539"/>
          <w:tab w:val="left" w:pos="540"/>
        </w:tabs>
        <w:spacing w:line="309" w:lineRule="auto"/>
        <w:ind w:right="553"/>
        <w:rPr>
          <w:sz w:val="21"/>
        </w:rPr>
      </w:pPr>
      <w:r>
        <w:rPr>
          <w:color w:val="000007"/>
          <w:sz w:val="21"/>
        </w:rPr>
        <w:t xml:space="preserve">Hagen, J., Hjelmeland, H., &amp; Knizek, B. L. (2017). Connecting with suicidal patients in psychiatric wards: </w:t>
      </w:r>
      <w:r>
        <w:rPr>
          <w:color w:val="000007"/>
          <w:sz w:val="21"/>
        </w:rPr>
        <w:t xml:space="preserve">Therapist challenges. </w:t>
      </w:r>
      <w:r>
        <w:rPr>
          <w:i/>
          <w:color w:val="000007"/>
          <w:sz w:val="21"/>
        </w:rPr>
        <w:t>Death Studies, 41</w:t>
      </w:r>
      <w:r>
        <w:rPr>
          <w:color w:val="000007"/>
          <w:sz w:val="21"/>
        </w:rPr>
        <w:t>(6), 360–367. APA PsycInfo®.</w:t>
      </w:r>
      <w:hyperlink r:id="rId13">
        <w:r>
          <w:rPr>
            <w:color w:val="0000FF"/>
            <w:sz w:val="21"/>
            <w:u w:val="single" w:color="0000FF"/>
          </w:rPr>
          <w:t xml:space="preserve"> https://doi.org/10.1080/07481187.2017.1284955</w:t>
        </w:r>
      </w:hyperlink>
    </w:p>
    <w:p w:rsidR="00FE26BE" w:rsidRDefault="005D4B9F">
      <w:pPr>
        <w:pStyle w:val="ListParagraph"/>
        <w:numPr>
          <w:ilvl w:val="0"/>
          <w:numId w:val="1"/>
        </w:numPr>
        <w:tabs>
          <w:tab w:val="left" w:pos="539"/>
          <w:tab w:val="left" w:pos="540"/>
        </w:tabs>
        <w:spacing w:before="1" w:line="309" w:lineRule="auto"/>
        <w:ind w:right="625"/>
        <w:rPr>
          <w:sz w:val="21"/>
        </w:rPr>
      </w:pPr>
      <w:r>
        <w:rPr>
          <w:color w:val="000007"/>
          <w:sz w:val="21"/>
        </w:rPr>
        <w:t>Hendin, H., Lipschitz, A., Maltsberger, J. T., Haas, A. P., &amp; Wynecoop, S. (2</w:t>
      </w:r>
      <w:r>
        <w:rPr>
          <w:color w:val="000007"/>
          <w:sz w:val="21"/>
        </w:rPr>
        <w:t xml:space="preserve">000). Therapists’ reactions to patients’ suicides. </w:t>
      </w:r>
      <w:r>
        <w:rPr>
          <w:i/>
          <w:color w:val="000007"/>
          <w:sz w:val="21"/>
        </w:rPr>
        <w:t>The American Journal of Psychiatry, 157</w:t>
      </w:r>
      <w:r>
        <w:rPr>
          <w:color w:val="000007"/>
          <w:sz w:val="21"/>
        </w:rPr>
        <w:t>(12), 2022–2027. APA PsycInfo®.</w:t>
      </w:r>
      <w:r>
        <w:rPr>
          <w:color w:val="0000FF"/>
          <w:spacing w:val="-7"/>
          <w:sz w:val="21"/>
        </w:rPr>
        <w:t xml:space="preserve"> </w:t>
      </w:r>
      <w:hyperlink r:id="rId14">
        <w:r>
          <w:rPr>
            <w:color w:val="0000FF"/>
            <w:sz w:val="21"/>
            <w:u w:val="single" w:color="0000FF"/>
          </w:rPr>
          <w:t>https://doi.org/10.1176/appi.ajp.157.12.2022</w:t>
        </w:r>
      </w:hyperlink>
    </w:p>
    <w:p w:rsidR="00FE26BE" w:rsidRDefault="005D4B9F">
      <w:pPr>
        <w:pStyle w:val="ListParagraph"/>
        <w:numPr>
          <w:ilvl w:val="0"/>
          <w:numId w:val="1"/>
        </w:numPr>
        <w:tabs>
          <w:tab w:val="left" w:pos="539"/>
          <w:tab w:val="left" w:pos="540"/>
        </w:tabs>
        <w:spacing w:line="309" w:lineRule="auto"/>
        <w:ind w:right="318"/>
        <w:rPr>
          <w:sz w:val="21"/>
        </w:rPr>
      </w:pPr>
      <w:r>
        <w:rPr>
          <w:color w:val="000007"/>
          <w:sz w:val="21"/>
        </w:rPr>
        <w:t>Henseler, H. (1977). On p</w:t>
      </w:r>
      <w:r>
        <w:rPr>
          <w:color w:val="000007"/>
          <w:sz w:val="21"/>
        </w:rPr>
        <w:t xml:space="preserve">atient–therapist interaction as a specific diagnostic and therapeutic tool with suicidal patients. </w:t>
      </w:r>
      <w:r>
        <w:rPr>
          <w:i/>
          <w:color w:val="000007"/>
          <w:sz w:val="21"/>
        </w:rPr>
        <w:t>Psychiatria Fennica</w:t>
      </w:r>
      <w:r>
        <w:rPr>
          <w:color w:val="000007"/>
          <w:sz w:val="21"/>
        </w:rPr>
        <w:t>, 181–187. APA</w:t>
      </w:r>
      <w:r>
        <w:rPr>
          <w:color w:val="000007"/>
          <w:spacing w:val="-9"/>
          <w:sz w:val="21"/>
        </w:rPr>
        <w:t xml:space="preserve"> </w:t>
      </w:r>
      <w:r>
        <w:rPr>
          <w:color w:val="000007"/>
          <w:sz w:val="21"/>
        </w:rPr>
        <w:t>PsycInfo®.</w:t>
      </w:r>
    </w:p>
    <w:p w:rsidR="00FE26BE" w:rsidRDefault="005D4B9F">
      <w:pPr>
        <w:pStyle w:val="ListParagraph"/>
        <w:numPr>
          <w:ilvl w:val="0"/>
          <w:numId w:val="1"/>
        </w:numPr>
        <w:tabs>
          <w:tab w:val="left" w:pos="539"/>
          <w:tab w:val="left" w:pos="540"/>
        </w:tabs>
        <w:spacing w:before="1" w:line="309" w:lineRule="auto"/>
        <w:ind w:right="322"/>
        <w:rPr>
          <w:sz w:val="21"/>
        </w:rPr>
      </w:pPr>
      <w:r>
        <w:rPr>
          <w:color w:val="000007"/>
          <w:sz w:val="21"/>
        </w:rPr>
        <w:t>Levi-Belz, Y., Barzilay, S., Levy, D., &amp;</w:t>
      </w:r>
      <w:r>
        <w:rPr>
          <w:color w:val="000007"/>
          <w:sz w:val="21"/>
        </w:rPr>
        <w:t xml:space="preserve"> David, O. (2020). To treat or not to treat: The effect of hypothetical patients’ suicidal severity on therapists’ willingness to treat. </w:t>
      </w:r>
      <w:r>
        <w:rPr>
          <w:i/>
          <w:color w:val="000007"/>
          <w:sz w:val="21"/>
        </w:rPr>
        <w:t>Archives of Suicide Research, 24</w:t>
      </w:r>
      <w:r>
        <w:rPr>
          <w:color w:val="000007"/>
          <w:sz w:val="21"/>
        </w:rPr>
        <w:t>(3), 355–366. APA PsycInfo®.</w:t>
      </w:r>
      <w:hyperlink r:id="rId15">
        <w:r>
          <w:rPr>
            <w:color w:val="0000FF"/>
            <w:sz w:val="21"/>
            <w:u w:val="single" w:color="0000FF"/>
          </w:rPr>
          <w:t xml:space="preserve"> https://doi.org/10.1080/13811118.2019.1632233</w:t>
        </w:r>
      </w:hyperlink>
    </w:p>
    <w:p w:rsidR="00FE26BE" w:rsidRDefault="005D4B9F">
      <w:pPr>
        <w:pStyle w:val="ListParagraph"/>
        <w:numPr>
          <w:ilvl w:val="0"/>
          <w:numId w:val="1"/>
        </w:numPr>
        <w:tabs>
          <w:tab w:val="left" w:pos="540"/>
        </w:tabs>
        <w:spacing w:line="309" w:lineRule="auto"/>
        <w:ind w:right="399"/>
        <w:jc w:val="both"/>
        <w:rPr>
          <w:sz w:val="21"/>
        </w:rPr>
      </w:pPr>
      <w:r>
        <w:rPr>
          <w:color w:val="000007"/>
          <w:sz w:val="21"/>
        </w:rPr>
        <w:t xml:space="preserve">Levi-Belz, Y., &amp; Gamliel, E. (2016). The effect of perceived burdensomeness and thwarted belongingness on therapists’ assessment of patients’ suicide risk. </w:t>
      </w:r>
      <w:r>
        <w:rPr>
          <w:i/>
          <w:color w:val="000007"/>
          <w:sz w:val="21"/>
        </w:rPr>
        <w:t>Psychotherapy Research, 26</w:t>
      </w:r>
      <w:r>
        <w:rPr>
          <w:color w:val="000007"/>
          <w:sz w:val="21"/>
        </w:rPr>
        <w:t>(4), 436–445. APA Psy</w:t>
      </w:r>
      <w:r>
        <w:rPr>
          <w:color w:val="000007"/>
          <w:sz w:val="21"/>
        </w:rPr>
        <w:t>cInfo®.</w:t>
      </w:r>
      <w:r>
        <w:rPr>
          <w:color w:val="0000FF"/>
          <w:spacing w:val="-8"/>
          <w:sz w:val="21"/>
        </w:rPr>
        <w:t xml:space="preserve"> </w:t>
      </w:r>
      <w:hyperlink r:id="rId16">
        <w:r>
          <w:rPr>
            <w:color w:val="0000FF"/>
            <w:sz w:val="21"/>
            <w:u w:val="single" w:color="0000FF"/>
          </w:rPr>
          <w:t>https://doi.org/10.1080/10503307.2015.1013161</w:t>
        </w:r>
      </w:hyperlink>
    </w:p>
    <w:p w:rsidR="00FE26BE" w:rsidRDefault="00FE26BE">
      <w:pPr>
        <w:spacing w:line="309" w:lineRule="auto"/>
        <w:jc w:val="both"/>
        <w:rPr>
          <w:sz w:val="21"/>
        </w:rPr>
        <w:sectPr w:rsidR="00FE26BE">
          <w:pgSz w:w="11910" w:h="16840"/>
          <w:pgMar w:top="1380" w:right="1600" w:bottom="1180" w:left="1680" w:header="0" w:footer="997" w:gutter="0"/>
          <w:cols w:space="720"/>
        </w:sectPr>
      </w:pPr>
    </w:p>
    <w:p w:rsidR="00FE26BE" w:rsidRDefault="005D4B9F">
      <w:pPr>
        <w:pStyle w:val="ListParagraph"/>
        <w:numPr>
          <w:ilvl w:val="0"/>
          <w:numId w:val="1"/>
        </w:numPr>
        <w:tabs>
          <w:tab w:val="left" w:pos="540"/>
        </w:tabs>
        <w:spacing w:before="77" w:line="309" w:lineRule="auto"/>
        <w:ind w:right="520"/>
        <w:rPr>
          <w:sz w:val="21"/>
        </w:rPr>
      </w:pPr>
      <w:r>
        <w:rPr>
          <w:color w:val="000007"/>
          <w:sz w:val="21"/>
        </w:rPr>
        <w:lastRenderedPageBreak/>
        <w:t>Monahan, M. F., Crowley, K. J., Arnkoff, D. B., Glass, C. R., &amp;</w:t>
      </w:r>
      <w:r>
        <w:rPr>
          <w:color w:val="000007"/>
          <w:sz w:val="21"/>
        </w:rPr>
        <w:t xml:space="preserve"> Jobes, D. A. (2020). Understanding therapists’ work with suicidal patients: An examination of qualitative data. </w:t>
      </w:r>
      <w:r>
        <w:rPr>
          <w:i/>
          <w:color w:val="000007"/>
          <w:sz w:val="21"/>
        </w:rPr>
        <w:t>Omega: Journal of Death and Dying, 81</w:t>
      </w:r>
      <w:r>
        <w:rPr>
          <w:color w:val="000007"/>
          <w:sz w:val="21"/>
        </w:rPr>
        <w:t>(2), 330–346. APA PsycInfo®.</w:t>
      </w:r>
      <w:hyperlink r:id="rId17">
        <w:r>
          <w:rPr>
            <w:color w:val="0000FF"/>
            <w:sz w:val="21"/>
            <w:u w:val="single" w:color="0000FF"/>
          </w:rPr>
          <w:t xml:space="preserve"> https://doi.org/1</w:t>
        </w:r>
        <w:r>
          <w:rPr>
            <w:color w:val="0000FF"/>
            <w:sz w:val="21"/>
            <w:u w:val="single" w:color="0000FF"/>
          </w:rPr>
          <w:t>0.1177/0030222818775888</w:t>
        </w:r>
      </w:hyperlink>
    </w:p>
    <w:p w:rsidR="00FE26BE" w:rsidRDefault="005D4B9F">
      <w:pPr>
        <w:pStyle w:val="ListParagraph"/>
        <w:numPr>
          <w:ilvl w:val="0"/>
          <w:numId w:val="1"/>
        </w:numPr>
        <w:tabs>
          <w:tab w:val="left" w:pos="540"/>
        </w:tabs>
        <w:spacing w:line="309" w:lineRule="auto"/>
        <w:rPr>
          <w:sz w:val="21"/>
        </w:rPr>
      </w:pPr>
      <w:r>
        <w:rPr>
          <w:color w:val="000007"/>
          <w:sz w:val="21"/>
        </w:rPr>
        <w:t xml:space="preserve">Østlie, K., Stänicke, E., &amp; Haavind, H. (2018). A listening perspective in psychotherapy with suicidal patients: Establishing convergence in therapists and patients private theories on suicidality and cure. </w:t>
      </w:r>
      <w:r>
        <w:rPr>
          <w:i/>
          <w:color w:val="000007"/>
          <w:sz w:val="21"/>
        </w:rPr>
        <w:t>Psychotherapy Research, 2</w:t>
      </w:r>
      <w:r>
        <w:rPr>
          <w:i/>
          <w:color w:val="000007"/>
          <w:sz w:val="21"/>
        </w:rPr>
        <w:t>8(</w:t>
      </w:r>
      <w:r>
        <w:rPr>
          <w:color w:val="000007"/>
          <w:sz w:val="21"/>
        </w:rPr>
        <w:t>1), 150–163. APA PsycInfo®.</w:t>
      </w:r>
      <w:hyperlink r:id="rId18">
        <w:r>
          <w:rPr>
            <w:color w:val="0000FF"/>
            <w:sz w:val="21"/>
            <w:u w:val="single" w:color="0000FF"/>
          </w:rPr>
          <w:t xml:space="preserve"> https://doi.org/10.1080/10503307.2016.1174347</w:t>
        </w:r>
      </w:hyperlink>
    </w:p>
    <w:p w:rsidR="00FE26BE" w:rsidRDefault="005D4B9F">
      <w:pPr>
        <w:pStyle w:val="ListParagraph"/>
        <w:numPr>
          <w:ilvl w:val="0"/>
          <w:numId w:val="1"/>
        </w:numPr>
        <w:tabs>
          <w:tab w:val="left" w:pos="540"/>
        </w:tabs>
        <w:spacing w:line="309" w:lineRule="auto"/>
        <w:ind w:right="334"/>
        <w:rPr>
          <w:sz w:val="21"/>
        </w:rPr>
      </w:pPr>
      <w:r>
        <w:rPr>
          <w:color w:val="000007"/>
          <w:sz w:val="21"/>
        </w:rPr>
        <w:t>Ronningstam, E., Goldblatt, M., Schechter, M., &amp; Herbstman, B. (2021). Facing a patient’s suicide—The impact on the</w:t>
      </w:r>
      <w:r>
        <w:rPr>
          <w:color w:val="000007"/>
          <w:sz w:val="21"/>
        </w:rPr>
        <w:t xml:space="preserve">rapists’ personal and professional identity. </w:t>
      </w:r>
      <w:r>
        <w:rPr>
          <w:i/>
          <w:color w:val="000007"/>
          <w:sz w:val="21"/>
        </w:rPr>
        <w:t>Practice Innovations, 6</w:t>
      </w:r>
      <w:r>
        <w:rPr>
          <w:color w:val="000007"/>
          <w:sz w:val="21"/>
        </w:rPr>
        <w:t>(2), 89–106. APA PsycArticles®.</w:t>
      </w:r>
      <w:r>
        <w:rPr>
          <w:color w:val="0000FF"/>
          <w:spacing w:val="-5"/>
          <w:sz w:val="21"/>
        </w:rPr>
        <w:t xml:space="preserve"> </w:t>
      </w:r>
      <w:hyperlink r:id="rId19">
        <w:r>
          <w:rPr>
            <w:color w:val="0000FF"/>
            <w:sz w:val="21"/>
            <w:u w:val="single" w:color="0000FF"/>
          </w:rPr>
          <w:t>https://doi.org/10.1037/pri0000140</w:t>
        </w:r>
      </w:hyperlink>
    </w:p>
    <w:p w:rsidR="00FE26BE" w:rsidRDefault="005D4B9F">
      <w:pPr>
        <w:pStyle w:val="ListParagraph"/>
        <w:numPr>
          <w:ilvl w:val="0"/>
          <w:numId w:val="1"/>
        </w:numPr>
        <w:tabs>
          <w:tab w:val="left" w:pos="540"/>
        </w:tabs>
        <w:spacing w:before="0" w:line="309" w:lineRule="auto"/>
        <w:ind w:right="252"/>
        <w:rPr>
          <w:sz w:val="21"/>
        </w:rPr>
      </w:pPr>
      <w:r>
        <w:rPr>
          <w:color w:val="000007"/>
          <w:w w:val="99"/>
          <w:sz w:val="21"/>
        </w:rPr>
        <w:t>Sharon</w:t>
      </w:r>
      <w:r>
        <w:rPr>
          <w:color w:val="000007"/>
          <w:spacing w:val="1"/>
          <w:sz w:val="21"/>
        </w:rPr>
        <w:t xml:space="preserve"> </w:t>
      </w:r>
      <w:r>
        <w:rPr>
          <w:color w:val="000007"/>
          <w:w w:val="99"/>
          <w:sz w:val="21"/>
        </w:rPr>
        <w:t>Almalia</w:t>
      </w:r>
      <w:r>
        <w:rPr>
          <w:color w:val="000007"/>
          <w:spacing w:val="-1"/>
          <w:w w:val="99"/>
          <w:sz w:val="21"/>
        </w:rPr>
        <w:t>h</w:t>
      </w:r>
      <w:r>
        <w:rPr>
          <w:rFonts w:ascii="Trebuchet MS" w:hAnsi="Trebuchet MS"/>
          <w:color w:val="000007"/>
          <w:spacing w:val="-1"/>
          <w:w w:val="271"/>
          <w:sz w:val="21"/>
        </w:rPr>
        <w:t>‐</w:t>
      </w:r>
      <w:r>
        <w:rPr>
          <w:color w:val="000007"/>
          <w:w w:val="99"/>
          <w:sz w:val="21"/>
        </w:rPr>
        <w:t>Rauscher,</w:t>
      </w:r>
      <w:r>
        <w:rPr>
          <w:color w:val="000007"/>
          <w:spacing w:val="1"/>
          <w:sz w:val="21"/>
        </w:rPr>
        <w:t xml:space="preserve"> </w:t>
      </w:r>
      <w:r>
        <w:rPr>
          <w:color w:val="000007"/>
          <w:w w:val="99"/>
          <w:sz w:val="21"/>
        </w:rPr>
        <w:t>Ettinger,</w:t>
      </w:r>
      <w:r>
        <w:rPr>
          <w:color w:val="000007"/>
          <w:spacing w:val="-2"/>
          <w:sz w:val="21"/>
        </w:rPr>
        <w:t xml:space="preserve"> </w:t>
      </w:r>
      <w:r>
        <w:rPr>
          <w:color w:val="000007"/>
          <w:w w:val="99"/>
          <w:sz w:val="21"/>
        </w:rPr>
        <w:t>N.,</w:t>
      </w:r>
      <w:r>
        <w:rPr>
          <w:color w:val="000007"/>
          <w:sz w:val="21"/>
        </w:rPr>
        <w:t xml:space="preserve"> </w:t>
      </w:r>
      <w:r>
        <w:rPr>
          <w:color w:val="000007"/>
          <w:w w:val="99"/>
          <w:sz w:val="21"/>
        </w:rPr>
        <w:t>Yossi</w:t>
      </w:r>
      <w:r>
        <w:rPr>
          <w:color w:val="000007"/>
          <w:spacing w:val="-1"/>
          <w:sz w:val="21"/>
        </w:rPr>
        <w:t xml:space="preserve"> </w:t>
      </w:r>
      <w:r>
        <w:rPr>
          <w:color w:val="000007"/>
          <w:w w:val="99"/>
          <w:sz w:val="21"/>
        </w:rPr>
        <w:t>Lev</w:t>
      </w:r>
      <w:r>
        <w:rPr>
          <w:color w:val="000007"/>
          <w:spacing w:val="1"/>
          <w:w w:val="99"/>
          <w:sz w:val="21"/>
        </w:rPr>
        <w:t>i</w:t>
      </w:r>
      <w:r>
        <w:rPr>
          <w:rFonts w:ascii="Trebuchet MS" w:hAnsi="Trebuchet MS"/>
          <w:color w:val="000007"/>
          <w:spacing w:val="-1"/>
          <w:w w:val="271"/>
          <w:sz w:val="21"/>
        </w:rPr>
        <w:t>‐</w:t>
      </w:r>
      <w:r>
        <w:rPr>
          <w:color w:val="000007"/>
          <w:w w:val="99"/>
          <w:sz w:val="21"/>
        </w:rPr>
        <w:t>Belz,</w:t>
      </w:r>
      <w:r>
        <w:rPr>
          <w:color w:val="000007"/>
          <w:spacing w:val="2"/>
          <w:sz w:val="21"/>
        </w:rPr>
        <w:t xml:space="preserve"> </w:t>
      </w:r>
      <w:r>
        <w:rPr>
          <w:color w:val="000007"/>
          <w:w w:val="99"/>
          <w:sz w:val="21"/>
        </w:rPr>
        <w:t>&amp;</w:t>
      </w:r>
      <w:r>
        <w:rPr>
          <w:color w:val="000007"/>
          <w:sz w:val="21"/>
        </w:rPr>
        <w:t xml:space="preserve"> </w:t>
      </w:r>
      <w:r>
        <w:rPr>
          <w:color w:val="000007"/>
          <w:w w:val="99"/>
          <w:sz w:val="21"/>
        </w:rPr>
        <w:t>Gvion,</w:t>
      </w:r>
      <w:r>
        <w:rPr>
          <w:color w:val="000007"/>
          <w:spacing w:val="-1"/>
          <w:sz w:val="21"/>
        </w:rPr>
        <w:t xml:space="preserve"> </w:t>
      </w:r>
      <w:r>
        <w:rPr>
          <w:color w:val="000007"/>
          <w:w w:val="99"/>
          <w:sz w:val="21"/>
        </w:rPr>
        <w:t>Y.</w:t>
      </w:r>
      <w:r>
        <w:rPr>
          <w:color w:val="000007"/>
          <w:sz w:val="21"/>
        </w:rPr>
        <w:t xml:space="preserve"> </w:t>
      </w:r>
      <w:r>
        <w:rPr>
          <w:color w:val="000007"/>
          <w:w w:val="99"/>
          <w:sz w:val="21"/>
        </w:rPr>
        <w:t>(2020).</w:t>
      </w:r>
      <w:r>
        <w:rPr>
          <w:color w:val="000007"/>
          <w:sz w:val="21"/>
        </w:rPr>
        <w:t xml:space="preserve"> </w:t>
      </w:r>
      <w:r>
        <w:rPr>
          <w:color w:val="000007"/>
          <w:w w:val="99"/>
          <w:sz w:val="21"/>
        </w:rPr>
        <w:t>“Will</w:t>
      </w:r>
      <w:r>
        <w:rPr>
          <w:color w:val="000007"/>
          <w:spacing w:val="-1"/>
          <w:sz w:val="21"/>
        </w:rPr>
        <w:t xml:space="preserve"> </w:t>
      </w:r>
      <w:r>
        <w:rPr>
          <w:color w:val="000007"/>
          <w:w w:val="99"/>
          <w:sz w:val="21"/>
        </w:rPr>
        <w:t xml:space="preserve">you </w:t>
      </w:r>
      <w:r>
        <w:rPr>
          <w:color w:val="000007"/>
          <w:sz w:val="21"/>
        </w:rPr>
        <w:t xml:space="preserve">treat me? I’m suicidal!” The effect of patient gender, suicidal severity, and therapist characteristics on the therapist’s likelihood to treat a hypothetical suicidal patient. </w:t>
      </w:r>
      <w:r>
        <w:rPr>
          <w:i/>
          <w:color w:val="000007"/>
          <w:sz w:val="21"/>
        </w:rPr>
        <w:t>Clinical Psychology and Psychotherapy, 27</w:t>
      </w:r>
      <w:r>
        <w:rPr>
          <w:color w:val="000007"/>
          <w:sz w:val="21"/>
        </w:rPr>
        <w:t>(3), 278–287. ProQ</w:t>
      </w:r>
      <w:r>
        <w:rPr>
          <w:color w:val="000007"/>
          <w:sz w:val="21"/>
        </w:rPr>
        <w:t>uest One Academic; Psychology Database.</w:t>
      </w:r>
      <w:r>
        <w:rPr>
          <w:color w:val="0000FF"/>
          <w:spacing w:val="-2"/>
          <w:sz w:val="21"/>
        </w:rPr>
        <w:t xml:space="preserve"> </w:t>
      </w:r>
      <w:hyperlink r:id="rId20">
        <w:r>
          <w:rPr>
            <w:color w:val="0000FF"/>
            <w:sz w:val="21"/>
            <w:u w:val="single" w:color="0000FF"/>
          </w:rPr>
          <w:t>https://doi.org/10.1002/cpp.2426</w:t>
        </w:r>
      </w:hyperlink>
    </w:p>
    <w:p w:rsidR="00FE26BE" w:rsidRDefault="005D4B9F">
      <w:pPr>
        <w:pStyle w:val="ListParagraph"/>
        <w:numPr>
          <w:ilvl w:val="0"/>
          <w:numId w:val="1"/>
        </w:numPr>
        <w:tabs>
          <w:tab w:val="left" w:pos="540"/>
        </w:tabs>
        <w:spacing w:before="1" w:line="309" w:lineRule="auto"/>
        <w:ind w:right="397"/>
        <w:rPr>
          <w:sz w:val="21"/>
        </w:rPr>
      </w:pPr>
      <w:r>
        <w:rPr>
          <w:color w:val="000007"/>
          <w:sz w:val="21"/>
        </w:rPr>
        <w:t xml:space="preserve">Silberschatz, G., &amp; Curtis, J. T. (1993). Measuring the therapist’s impact on the patient’s therapeutic progress. </w:t>
      </w:r>
      <w:r>
        <w:rPr>
          <w:i/>
          <w:color w:val="000007"/>
          <w:sz w:val="21"/>
        </w:rPr>
        <w:t>Journal of Consul</w:t>
      </w:r>
      <w:r>
        <w:rPr>
          <w:i/>
          <w:color w:val="000007"/>
          <w:sz w:val="21"/>
        </w:rPr>
        <w:t>ting and Clinical Psychology, 61</w:t>
      </w:r>
      <w:r>
        <w:rPr>
          <w:color w:val="000007"/>
          <w:sz w:val="21"/>
        </w:rPr>
        <w:t>(3), 403–411. APA PsycArticles®.</w:t>
      </w:r>
      <w:r>
        <w:rPr>
          <w:color w:val="0000FF"/>
          <w:spacing w:val="-3"/>
          <w:sz w:val="21"/>
        </w:rPr>
        <w:t xml:space="preserve"> </w:t>
      </w:r>
      <w:hyperlink r:id="rId21">
        <w:r>
          <w:rPr>
            <w:color w:val="0000FF"/>
            <w:sz w:val="21"/>
            <w:u w:val="single" w:color="0000FF"/>
          </w:rPr>
          <w:t>https://doi.org/10.1037/0022-006X.61.3.403</w:t>
        </w:r>
      </w:hyperlink>
    </w:p>
    <w:p w:rsidR="00FE26BE" w:rsidRDefault="005D4B9F">
      <w:pPr>
        <w:pStyle w:val="ListParagraph"/>
        <w:numPr>
          <w:ilvl w:val="0"/>
          <w:numId w:val="1"/>
        </w:numPr>
        <w:tabs>
          <w:tab w:val="left" w:pos="540"/>
        </w:tabs>
        <w:spacing w:before="1" w:line="309" w:lineRule="auto"/>
        <w:ind w:right="270"/>
        <w:rPr>
          <w:sz w:val="21"/>
        </w:rPr>
      </w:pPr>
      <w:r>
        <w:rPr>
          <w:color w:val="000007"/>
          <w:sz w:val="21"/>
        </w:rPr>
        <w:t>Wurst, F. M., Kunz, I., Skipper, G., Wolfersdorf, M., Beine, K. H., &amp; Thon, N. (2011).</w:t>
      </w:r>
      <w:r>
        <w:rPr>
          <w:color w:val="000007"/>
          <w:sz w:val="21"/>
        </w:rPr>
        <w:t xml:space="preserve"> The therapist’s reaction to a patient’s suicide: Results of a survey and implications for health care professionals’ well-being. </w:t>
      </w:r>
      <w:r>
        <w:rPr>
          <w:i/>
          <w:color w:val="000007"/>
          <w:sz w:val="21"/>
        </w:rPr>
        <w:t>Crisis: The Journal of Crisis Intervention and Suicide Prevention, 32</w:t>
      </w:r>
      <w:r>
        <w:rPr>
          <w:color w:val="000007"/>
          <w:sz w:val="21"/>
        </w:rPr>
        <w:t>(2), 99–105. APA PsycArticles®.</w:t>
      </w:r>
      <w:r>
        <w:rPr>
          <w:color w:val="0000FF"/>
          <w:spacing w:val="-6"/>
          <w:sz w:val="21"/>
        </w:rPr>
        <w:t xml:space="preserve"> </w:t>
      </w:r>
      <w:hyperlink r:id="rId22">
        <w:r>
          <w:rPr>
            <w:color w:val="0000FF"/>
            <w:sz w:val="21"/>
            <w:u w:val="single" w:color="0000FF"/>
          </w:rPr>
          <w:t>https://doi.org/10.1027/0227-5910/a000062</w:t>
        </w:r>
      </w:hyperlink>
    </w:p>
    <w:p w:rsidR="00FE26BE" w:rsidRDefault="005D4B9F">
      <w:pPr>
        <w:pStyle w:val="ListParagraph"/>
        <w:numPr>
          <w:ilvl w:val="0"/>
          <w:numId w:val="1"/>
        </w:numPr>
        <w:tabs>
          <w:tab w:val="left" w:pos="540"/>
        </w:tabs>
        <w:spacing w:line="309" w:lineRule="auto"/>
        <w:ind w:right="341"/>
        <w:rPr>
          <w:sz w:val="21"/>
        </w:rPr>
      </w:pPr>
      <w:r>
        <w:rPr>
          <w:color w:val="000007"/>
          <w:sz w:val="21"/>
        </w:rPr>
        <w:t>Ying, G., Chennapragada, L., Musser, E. D., &amp; Galynker, I. (2021). Behind therapists’ emotional responses to suicidal patients: A study of the narrative crisis model of suicide a</w:t>
      </w:r>
      <w:r>
        <w:rPr>
          <w:color w:val="000007"/>
          <w:sz w:val="21"/>
        </w:rPr>
        <w:t>nd clinicians’ emotions. Suicide and Life-Threatening Behavior. APA PsycInfo®.</w:t>
      </w:r>
      <w:hyperlink r:id="rId23">
        <w:r>
          <w:rPr>
            <w:color w:val="0000FF"/>
            <w:sz w:val="21"/>
            <w:u w:val="single" w:color="0000FF"/>
          </w:rPr>
          <w:t xml:space="preserve"> https://doi.org/10.1111/sltb.12730</w:t>
        </w:r>
      </w:hyperlink>
    </w:p>
    <w:sectPr w:rsidR="00FE26BE">
      <w:pgSz w:w="11910" w:h="16840"/>
      <w:pgMar w:top="1380" w:right="1600" w:bottom="1180" w:left="1680" w:header="0" w:footer="9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B9F" w:rsidRDefault="005D4B9F">
      <w:r>
        <w:separator/>
      </w:r>
    </w:p>
  </w:endnote>
  <w:endnote w:type="continuationSeparator" w:id="0">
    <w:p w:rsidR="005D4B9F" w:rsidRDefault="005D4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6BE" w:rsidRDefault="00993BA7">
    <w:pPr>
      <w:pStyle w:val="BodyText"/>
      <w:spacing w:before="0" w:line="14" w:lineRule="auto"/>
      <w:ind w:left="0" w:firstLine="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6185535</wp:posOffset>
              </wp:positionH>
              <wp:positionV relativeFrom="page">
                <wp:posOffset>9919335</wp:posOffset>
              </wp:positionV>
              <wp:extent cx="242570" cy="1587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6BE" w:rsidRDefault="005D4B9F">
                          <w:pPr>
                            <w:spacing w:before="22"/>
                            <w:ind w:left="20"/>
                            <w:rPr>
                              <w:rFonts w:ascii="Trebuchet MS"/>
                              <w:sz w:val="18"/>
                            </w:rPr>
                          </w:pPr>
                          <w:r>
                            <w:rPr>
                              <w:rFonts w:ascii="Trebuchet MS"/>
                              <w:color w:val="000007"/>
                              <w:w w:val="105"/>
                              <w:sz w:val="18"/>
                            </w:rPr>
                            <w:t xml:space="preserve">- </w:t>
                          </w:r>
                          <w:r>
                            <w:fldChar w:fldCharType="begin"/>
                          </w:r>
                          <w:r>
                            <w:rPr>
                              <w:rFonts w:ascii="Trebuchet MS"/>
                              <w:color w:val="000007"/>
                              <w:w w:val="105"/>
                              <w:sz w:val="18"/>
                            </w:rPr>
                            <w:instrText xml:space="preserve"> PAGE </w:instrText>
                          </w:r>
                          <w:r>
                            <w:fldChar w:fldCharType="separate"/>
                          </w:r>
                          <w:r w:rsidR="00993BA7">
                            <w:rPr>
                              <w:rFonts w:ascii="Trebuchet MS"/>
                              <w:noProof/>
                              <w:color w:val="000007"/>
                              <w:w w:val="105"/>
                              <w:sz w:val="18"/>
                            </w:rPr>
                            <w:t>1</w:t>
                          </w:r>
                          <w:r>
                            <w:fldChar w:fldCharType="end"/>
                          </w:r>
                          <w:r>
                            <w:rPr>
                              <w:rFonts w:ascii="Trebuchet MS"/>
                              <w:color w:val="000007"/>
                              <w:w w:val="105"/>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87.05pt;margin-top:781.05pt;width:19.1pt;height:1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" filled="f" stroked="f">
              <v:textbox inset="0,0,0,0">
                <w:txbxContent>
                  <w:p w:rsidR="00FE26BE" w:rsidRDefault="005D4B9F">
                    <w:pPr>
                      <w:spacing w:before="22"/>
                      <w:ind w:left="20"/>
                      <w:rPr>
                        <w:rFonts w:ascii="Trebuchet MS"/>
                        <w:sz w:val="18"/>
                      </w:rPr>
                    </w:pPr>
                    <w:r>
                      <w:rPr>
                        <w:rFonts w:ascii="Trebuchet MS"/>
                        <w:color w:val="000007"/>
                        <w:w w:val="105"/>
                        <w:sz w:val="18"/>
                      </w:rPr>
                      <w:t xml:space="preserve">- </w:t>
                    </w:r>
                    <w:r>
                      <w:fldChar w:fldCharType="begin"/>
                    </w:r>
                    <w:r>
                      <w:rPr>
                        <w:rFonts w:ascii="Trebuchet MS"/>
                        <w:color w:val="000007"/>
                        <w:w w:val="105"/>
                        <w:sz w:val="18"/>
                      </w:rPr>
                      <w:instrText xml:space="preserve"> PAGE </w:instrText>
                    </w:r>
                    <w:r>
                      <w:fldChar w:fldCharType="separate"/>
                    </w:r>
                    <w:r w:rsidR="00993BA7">
                      <w:rPr>
                        <w:rFonts w:ascii="Trebuchet MS"/>
                        <w:noProof/>
                        <w:color w:val="000007"/>
                        <w:w w:val="105"/>
                        <w:sz w:val="18"/>
                      </w:rPr>
                      <w:t>1</w:t>
                    </w:r>
                    <w:r>
                      <w:fldChar w:fldCharType="end"/>
                    </w:r>
                    <w:r>
                      <w:rPr>
                        <w:rFonts w:ascii="Trebuchet MS"/>
                        <w:color w:val="000007"/>
                        <w:w w:val="105"/>
                        <w:sz w:val="1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B9F" w:rsidRDefault="005D4B9F">
      <w:r>
        <w:separator/>
      </w:r>
    </w:p>
  </w:footnote>
  <w:footnote w:type="continuationSeparator" w:id="0">
    <w:p w:rsidR="005D4B9F" w:rsidRDefault="005D4B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205B4"/>
    <w:multiLevelType w:val="hybridMultilevel"/>
    <w:tmpl w:val="F71A6260"/>
    <w:lvl w:ilvl="0" w:tplc="5FC44792">
      <w:start w:val="1"/>
      <w:numFmt w:val="decimal"/>
      <w:lvlText w:val="%1."/>
      <w:lvlJc w:val="left"/>
      <w:pPr>
        <w:ind w:left="540" w:hanging="420"/>
        <w:jc w:val="left"/>
      </w:pPr>
      <w:rPr>
        <w:rFonts w:ascii="Times New Roman" w:eastAsia="Times New Roman" w:hAnsi="Times New Roman" w:cs="Times New Roman" w:hint="default"/>
        <w:color w:val="000007"/>
        <w:w w:val="99"/>
        <w:sz w:val="21"/>
        <w:szCs w:val="21"/>
        <w:lang w:val="en-US" w:eastAsia="en-US" w:bidi="ar-SA"/>
      </w:rPr>
    </w:lvl>
    <w:lvl w:ilvl="1" w:tplc="023E4D58">
      <w:numFmt w:val="bullet"/>
      <w:lvlText w:val="•"/>
      <w:lvlJc w:val="left"/>
      <w:pPr>
        <w:ind w:left="1348" w:hanging="420"/>
      </w:pPr>
      <w:rPr>
        <w:rFonts w:hint="default"/>
        <w:lang w:val="en-US" w:eastAsia="en-US" w:bidi="ar-SA"/>
      </w:rPr>
    </w:lvl>
    <w:lvl w:ilvl="2" w:tplc="9E8269DE">
      <w:numFmt w:val="bullet"/>
      <w:lvlText w:val="•"/>
      <w:lvlJc w:val="left"/>
      <w:pPr>
        <w:ind w:left="2157" w:hanging="420"/>
      </w:pPr>
      <w:rPr>
        <w:rFonts w:hint="default"/>
        <w:lang w:val="en-US" w:eastAsia="en-US" w:bidi="ar-SA"/>
      </w:rPr>
    </w:lvl>
    <w:lvl w:ilvl="3" w:tplc="FD428DA2">
      <w:numFmt w:val="bullet"/>
      <w:lvlText w:val="•"/>
      <w:lvlJc w:val="left"/>
      <w:pPr>
        <w:ind w:left="2965" w:hanging="420"/>
      </w:pPr>
      <w:rPr>
        <w:rFonts w:hint="default"/>
        <w:lang w:val="en-US" w:eastAsia="en-US" w:bidi="ar-SA"/>
      </w:rPr>
    </w:lvl>
    <w:lvl w:ilvl="4" w:tplc="FD86A506">
      <w:numFmt w:val="bullet"/>
      <w:lvlText w:val="•"/>
      <w:lvlJc w:val="left"/>
      <w:pPr>
        <w:ind w:left="3774" w:hanging="420"/>
      </w:pPr>
      <w:rPr>
        <w:rFonts w:hint="default"/>
        <w:lang w:val="en-US" w:eastAsia="en-US" w:bidi="ar-SA"/>
      </w:rPr>
    </w:lvl>
    <w:lvl w:ilvl="5" w:tplc="44B0A552">
      <w:numFmt w:val="bullet"/>
      <w:lvlText w:val="•"/>
      <w:lvlJc w:val="left"/>
      <w:pPr>
        <w:ind w:left="4583" w:hanging="420"/>
      </w:pPr>
      <w:rPr>
        <w:rFonts w:hint="default"/>
        <w:lang w:val="en-US" w:eastAsia="en-US" w:bidi="ar-SA"/>
      </w:rPr>
    </w:lvl>
    <w:lvl w:ilvl="6" w:tplc="AE4E823C">
      <w:numFmt w:val="bullet"/>
      <w:lvlText w:val="•"/>
      <w:lvlJc w:val="left"/>
      <w:pPr>
        <w:ind w:left="5391" w:hanging="420"/>
      </w:pPr>
      <w:rPr>
        <w:rFonts w:hint="default"/>
        <w:lang w:val="en-US" w:eastAsia="en-US" w:bidi="ar-SA"/>
      </w:rPr>
    </w:lvl>
    <w:lvl w:ilvl="7" w:tplc="BC6C2498">
      <w:numFmt w:val="bullet"/>
      <w:lvlText w:val="•"/>
      <w:lvlJc w:val="left"/>
      <w:pPr>
        <w:ind w:left="6200" w:hanging="420"/>
      </w:pPr>
      <w:rPr>
        <w:rFonts w:hint="default"/>
        <w:lang w:val="en-US" w:eastAsia="en-US" w:bidi="ar-SA"/>
      </w:rPr>
    </w:lvl>
    <w:lvl w:ilvl="8" w:tplc="3AD468CE">
      <w:numFmt w:val="bullet"/>
      <w:lvlText w:val="•"/>
      <w:lvlJc w:val="left"/>
      <w:pPr>
        <w:ind w:left="7008" w:hanging="4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6BE"/>
    <w:rsid w:val="005D4B9F"/>
    <w:rsid w:val="00993BA7"/>
    <w:rsid w:val="00FE2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540" w:hanging="420"/>
    </w:pPr>
    <w:rPr>
      <w:sz w:val="21"/>
      <w:szCs w:val="21"/>
    </w:rPr>
  </w:style>
  <w:style w:type="paragraph" w:styleId="Title">
    <w:name w:val="Title"/>
    <w:basedOn w:val="Normal"/>
    <w:uiPriority w:val="1"/>
    <w:qFormat/>
    <w:pPr>
      <w:spacing w:before="72"/>
      <w:ind w:left="2676" w:right="494" w:hanging="2228"/>
    </w:pPr>
    <w:rPr>
      <w:b/>
      <w:bCs/>
      <w:sz w:val="28"/>
      <w:szCs w:val="28"/>
    </w:rPr>
  </w:style>
  <w:style w:type="paragraph" w:styleId="ListParagraph">
    <w:name w:val="List Paragraph"/>
    <w:basedOn w:val="Normal"/>
    <w:uiPriority w:val="1"/>
    <w:qFormat/>
    <w:pPr>
      <w:spacing w:before="2"/>
      <w:ind w:left="540" w:right="247" w:hanging="420"/>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540" w:hanging="420"/>
    </w:pPr>
    <w:rPr>
      <w:sz w:val="21"/>
      <w:szCs w:val="21"/>
    </w:rPr>
  </w:style>
  <w:style w:type="paragraph" w:styleId="Title">
    <w:name w:val="Title"/>
    <w:basedOn w:val="Normal"/>
    <w:uiPriority w:val="1"/>
    <w:qFormat/>
    <w:pPr>
      <w:spacing w:before="72"/>
      <w:ind w:left="2676" w:right="494" w:hanging="2228"/>
    </w:pPr>
    <w:rPr>
      <w:b/>
      <w:bCs/>
      <w:sz w:val="28"/>
      <w:szCs w:val="28"/>
    </w:rPr>
  </w:style>
  <w:style w:type="paragraph" w:styleId="ListParagraph">
    <w:name w:val="List Paragraph"/>
    <w:basedOn w:val="Normal"/>
    <w:uiPriority w:val="1"/>
    <w:qFormat/>
    <w:pPr>
      <w:spacing w:before="2"/>
      <w:ind w:left="540" w:right="247" w:hanging="4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80/07481187.2017.1284955" TargetMode="External"/><Relationship Id="rId18" Type="http://schemas.openxmlformats.org/officeDocument/2006/relationships/hyperlink" Target="https://doi.org/10.1080/10503307.2016.1174347" TargetMode="External"/><Relationship Id="rId3" Type="http://schemas.microsoft.com/office/2007/relationships/stylesWithEffects" Target="stylesWithEffects.xml"/><Relationship Id="rId21" Type="http://schemas.openxmlformats.org/officeDocument/2006/relationships/hyperlink" Target="https://doi.org/10.1037/0022-006X.61.3.403" TargetMode="External"/><Relationship Id="rId7" Type="http://schemas.openxmlformats.org/officeDocument/2006/relationships/endnotes" Target="endnotes.xml"/><Relationship Id="rId12" Type="http://schemas.openxmlformats.org/officeDocument/2006/relationships/hyperlink" Target="https://doi.org/10.1007/s41811-018-0005-1" TargetMode="External"/><Relationship Id="rId17" Type="http://schemas.openxmlformats.org/officeDocument/2006/relationships/hyperlink" Target="https://doi.org/10.1177/0030222818775888"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80/10503307.2015.1013161" TargetMode="External"/><Relationship Id="rId20" Type="http://schemas.openxmlformats.org/officeDocument/2006/relationships/hyperlink" Target="https://doi.org/10.1002/cpp.2426"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37/ccp00005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13811118.2019.1632233" TargetMode="External"/><Relationship Id="rId23" Type="http://schemas.openxmlformats.org/officeDocument/2006/relationships/hyperlink" Target="https://doi.org/10.1111/sltb.12730" TargetMode="External"/><Relationship Id="rId10" Type="http://schemas.openxmlformats.org/officeDocument/2006/relationships/hyperlink" Target="https://doi.org/10.1037/ccp0000644" TargetMode="External"/><Relationship Id="rId19" Type="http://schemas.openxmlformats.org/officeDocument/2006/relationships/hyperlink" Target="https://doi.org/10.1037/pri0000140" TargetMode="External"/><Relationship Id="rId4" Type="http://schemas.openxmlformats.org/officeDocument/2006/relationships/settings" Target="settings.xml"/><Relationship Id="rId9" Type="http://schemas.openxmlformats.org/officeDocument/2006/relationships/hyperlink" Target="https://doi.org/10.1080/10503307.2017.1359428" TargetMode="External"/><Relationship Id="rId14" Type="http://schemas.openxmlformats.org/officeDocument/2006/relationships/hyperlink" Target="https://doi.org/10.1176/appi.ajp.157.12.2022" TargetMode="External"/><Relationship Id="rId22" Type="http://schemas.openxmlformats.org/officeDocument/2006/relationships/hyperlink" Target="https://doi.org/10.1027/0227-5910/a0000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mingcongtang</dc:creator>
  <cp:lastModifiedBy>20th World Gastroenterologists Summit</cp:lastModifiedBy>
  <cp:revision>2</cp:revision>
  <dcterms:created xsi:type="dcterms:W3CDTF">2022-05-31T11:34:00Z</dcterms:created>
  <dcterms:modified xsi:type="dcterms:W3CDTF">2022-05-31T11:34:00Z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2022-03-13T00:00:00Z</vt:filetime>
  </property>
  <property fmtid="{D5CDD505-2E9C-101B-9397-08002B2CF9AE}" pid="3" name="Creator">
    <vt:lpwstr>WPS Writer</vt:lpwstr>
  </property>
  <property fmtid="{D5CDD505-2E9C-101B-9397-08002B2CF9AE}" pid="4" name="LastSaved">
    <vt:filetime>2022-04-12T00:00:00Z</vt:filetime>
  </property>
</Properties>
</file>