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line="14" w:lineRule="exact"/>
        <w:rPr>
          <w:sz w:val="24"/>
          <w:szCs w:val="24"/>
          <w:color w:val="auto"/>
        </w:rPr>
      </w:pPr>
    </w:p>
    <w:p>
      <w:pPr>
        <w:jc w:val="both"/>
        <w:spacing w:after="0" w:line="254" w:lineRule="auto"/>
        <w:rPr>
          <w:sz w:val="20"/>
          <w:szCs w:val="20"/>
          <w:color w:val="auto"/>
        </w:rPr>
      </w:pPr>
      <w:r>
        <w:rPr>
          <w:rFonts w:ascii="Times New Roman" w:cs="Times New Roman" w:eastAsia="Times New Roman" w:hAnsi="Times New Roman"/>
          <w:sz w:val="28"/>
          <w:szCs w:val="28"/>
          <w:b w:val="1"/>
          <w:bCs w:val="1"/>
          <w:color w:val="auto"/>
        </w:rPr>
        <w:t>The synchronous gastrointestinal neuroendocrine tumors, colorectal adenocarcinoma and liver cavernous hemangioma-histopathological, immunohistochemical and genetic case report study</w:t>
      </w:r>
    </w:p>
    <w:p>
      <w:pPr>
        <w:spacing w:after="0" w:line="301"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Liga Sulca, Selga Savcenko, Viktorija Kregere</w:t>
      </w:r>
    </w:p>
    <w:p>
      <w:pPr>
        <w:spacing w:after="0" w:line="324" w:lineRule="exact"/>
        <w:rPr>
          <w:sz w:val="24"/>
          <w:szCs w:val="24"/>
          <w:color w:val="auto"/>
        </w:rPr>
      </w:pPr>
    </w:p>
    <w:p>
      <w:pPr>
        <w:spacing w:after="0"/>
        <w:rPr>
          <w:sz w:val="20"/>
          <w:szCs w:val="20"/>
          <w:color w:val="auto"/>
        </w:rPr>
      </w:pPr>
      <w:r>
        <w:rPr>
          <w:rFonts w:ascii="Times New Roman" w:cs="Times New Roman" w:eastAsia="Times New Roman" w:hAnsi="Times New Roman"/>
          <w:sz w:val="22"/>
          <w:szCs w:val="22"/>
          <w:color w:val="auto"/>
        </w:rPr>
        <w:t>Faculty of Medicine, University of Latvia, 19, Raina blvd, LV-1586, Riga, Latvia</w:t>
      </w:r>
    </w:p>
    <w:p>
      <w:pPr>
        <w:spacing w:after="0" w:line="18" w:lineRule="exact"/>
        <w:rPr>
          <w:sz w:val="24"/>
          <w:szCs w:val="24"/>
          <w:color w:val="auto"/>
        </w:rPr>
      </w:pPr>
    </w:p>
    <w:p>
      <w:pPr>
        <w:spacing w:after="0"/>
        <w:rPr>
          <w:sz w:val="20"/>
          <w:szCs w:val="20"/>
          <w:color w:val="auto"/>
        </w:rPr>
      </w:pPr>
      <w:r>
        <w:rPr>
          <w:rFonts w:ascii="Times New Roman" w:cs="Times New Roman" w:eastAsia="Times New Roman" w:hAnsi="Times New Roman"/>
          <w:sz w:val="22"/>
          <w:szCs w:val="22"/>
          <w:color w:val="auto"/>
        </w:rPr>
        <w:t>Riga East University Hospital, Centre of Pathology, 2, Hipokrata str., LV-1038, Riga, Latvia</w:t>
      </w:r>
    </w:p>
    <w:p>
      <w:pPr>
        <w:spacing w:after="0" w:line="328" w:lineRule="exact"/>
        <w:rPr>
          <w:sz w:val="24"/>
          <w:szCs w:val="24"/>
          <w:color w:val="auto"/>
        </w:rPr>
      </w:pPr>
    </w:p>
    <w:p>
      <w:pPr>
        <w:jc w:val="both"/>
        <w:ind w:firstLine="180"/>
        <w:spacing w:after="0" w:line="257" w:lineRule="auto"/>
        <w:rPr>
          <w:sz w:val="20"/>
          <w:szCs w:val="20"/>
          <w:color w:val="auto"/>
        </w:rPr>
      </w:pPr>
      <w:r>
        <w:rPr>
          <w:rFonts w:ascii="Times New Roman" w:cs="Times New Roman" w:eastAsia="Times New Roman" w:hAnsi="Times New Roman"/>
          <w:sz w:val="24"/>
          <w:szCs w:val="24"/>
          <w:color w:val="auto"/>
        </w:rPr>
        <w:t>The incidence of synchronous gastrointestinal neuroendocrine tumors (NET) and colorectal cancer is very low (Yumoto S, 2020). NET are relatively rare tumors and located most commonly in the gastrointestinal tract mainly in small intestine and rectum. Generally, NETs often show hematogenous metastases, and the most frequent site of distant spread is liver (Yumoto S, 2020). Colorectal carcinoma is one of common malignant tumor. The adenocarcinoma is the frequent histopathological tumor type. (Yumoto S, 2020). The synchronous tumors usually are inherited and are related with multiple endocrine neoplasia syndrome (Yumoto S, 2020).</w:t>
      </w:r>
    </w:p>
    <w:p>
      <w:pPr>
        <w:spacing w:after="0" w:line="18" w:lineRule="exact"/>
        <w:rPr>
          <w:sz w:val="24"/>
          <w:szCs w:val="24"/>
          <w:color w:val="auto"/>
        </w:rPr>
      </w:pPr>
    </w:p>
    <w:p>
      <w:pPr>
        <w:jc w:val="both"/>
        <w:ind w:firstLine="180"/>
        <w:spacing w:after="0" w:line="248" w:lineRule="auto"/>
        <w:rPr>
          <w:sz w:val="20"/>
          <w:szCs w:val="20"/>
          <w:color w:val="auto"/>
        </w:rPr>
      </w:pPr>
      <w:r>
        <w:rPr>
          <w:rFonts w:ascii="Times New Roman" w:cs="Times New Roman" w:eastAsia="Times New Roman" w:hAnsi="Times New Roman"/>
          <w:sz w:val="24"/>
          <w:szCs w:val="24"/>
          <w:color w:val="auto"/>
        </w:rPr>
        <w:t>We report the case of a 70-year-old male with multiple sinchronous tumours- primary small intestinal neuroendocrine tumor, colorectal carcinoma and liver cavernous hemangioma.</w:t>
      </w:r>
    </w:p>
    <w:p>
      <w:pPr>
        <w:spacing w:after="0" w:line="25" w:lineRule="exact"/>
        <w:rPr>
          <w:sz w:val="24"/>
          <w:szCs w:val="24"/>
          <w:color w:val="auto"/>
        </w:rPr>
      </w:pPr>
    </w:p>
    <w:p>
      <w:pPr>
        <w:jc w:val="both"/>
        <w:ind w:firstLine="720"/>
        <w:spacing w:after="0" w:line="248" w:lineRule="auto"/>
        <w:rPr>
          <w:sz w:val="20"/>
          <w:szCs w:val="20"/>
          <w:color w:val="auto"/>
        </w:rPr>
      </w:pPr>
      <w:r>
        <w:rPr>
          <w:rFonts w:ascii="Times New Roman" w:cs="Times New Roman" w:eastAsia="Times New Roman" w:hAnsi="Times New Roman"/>
          <w:sz w:val="24"/>
          <w:szCs w:val="24"/>
          <w:color w:val="auto"/>
        </w:rPr>
        <w:t>We report the case of a 70-year-old male with multiple sinchronous tumours- primary small intestinal neuroendocrine tumor, colorectal carcinoma and liver cavernous hemangioma.</w:t>
      </w:r>
    </w:p>
    <w:p>
      <w:pPr>
        <w:spacing w:after="0" w:line="25" w:lineRule="exact"/>
        <w:rPr>
          <w:sz w:val="24"/>
          <w:szCs w:val="24"/>
          <w:color w:val="auto"/>
        </w:rPr>
      </w:pPr>
    </w:p>
    <w:p>
      <w:pPr>
        <w:jc w:val="both"/>
        <w:ind w:firstLine="720"/>
        <w:spacing w:after="0" w:line="248" w:lineRule="auto"/>
        <w:rPr>
          <w:sz w:val="20"/>
          <w:szCs w:val="20"/>
          <w:color w:val="auto"/>
        </w:rPr>
      </w:pPr>
      <w:r>
        <w:rPr>
          <w:rFonts w:ascii="Times New Roman" w:cs="Times New Roman" w:eastAsia="Times New Roman" w:hAnsi="Times New Roman"/>
          <w:sz w:val="24"/>
          <w:szCs w:val="24"/>
          <w:color w:val="auto"/>
        </w:rPr>
        <w:t>A 70 years old male was addmitted at Pauls Stradins Clinical University Hospital with previously biopsy proved Grade 2 colorectal carcinoma for surgical treatment.</w:t>
      </w:r>
    </w:p>
    <w:p>
      <w:pPr>
        <w:spacing w:after="0" w:line="25" w:lineRule="exact"/>
        <w:rPr>
          <w:sz w:val="24"/>
          <w:szCs w:val="24"/>
          <w:color w:val="auto"/>
        </w:rPr>
      </w:pPr>
    </w:p>
    <w:p>
      <w:pPr>
        <w:jc w:val="both"/>
        <w:ind w:firstLine="720"/>
        <w:spacing w:after="0" w:line="257" w:lineRule="auto"/>
        <w:rPr>
          <w:sz w:val="20"/>
          <w:szCs w:val="20"/>
          <w:color w:val="auto"/>
        </w:rPr>
      </w:pPr>
      <w:r>
        <w:rPr>
          <w:rFonts w:ascii="Times New Roman" w:cs="Times New Roman" w:eastAsia="Times New Roman" w:hAnsi="Times New Roman"/>
          <w:sz w:val="24"/>
          <w:szCs w:val="24"/>
          <w:color w:val="auto"/>
        </w:rPr>
        <w:t>Clinical examination was performed. CT scanning showed suspicious liver mass, probably metastasis. In addition, in small intestine mass lesions were observed. The surgical treatment was performed. The histopathological, immunohistochemical and genetic examination was performed. The comprehensive next generation sequencing was performed (</w:t>
      </w:r>
      <w:r>
        <w:rPr>
          <w:rFonts w:ascii="Times New Roman" w:cs="Times New Roman" w:eastAsia="Times New Roman" w:hAnsi="Times New Roman"/>
          <w:sz w:val="24"/>
          <w:szCs w:val="24"/>
          <w:i w:val="1"/>
          <w:iCs w:val="1"/>
          <w:color w:val="auto"/>
        </w:rPr>
        <w:t>Quigen</w:t>
      </w:r>
      <w:r>
        <w:rPr>
          <w:rFonts w:ascii="Times New Roman" w:cs="Times New Roman" w:eastAsia="Times New Roman" w:hAnsi="Times New Roman"/>
          <w:sz w:val="24"/>
          <w:szCs w:val="24"/>
          <w:color w:val="auto"/>
        </w:rPr>
        <w:t>). Such genes were analyzed-APC, AKT2, AKT3, AR, ARAF, ARID1A, BAP1, BRCA1, BRCA2, BRAF, CDH1, CDK4, CSF1R, CDKN, CTCF, ERBB3, ESR1, FAT1, FOXL2, GATA3, GNA11, GNAQ, H3F3A, HIST1H3 B, HNF1A, HRAS, IDH1, IDH2, JAK2, KDR, KRAS, KEAP1, KMT2C, KMT2D, MAP2K2, MLH1, NF1, NFE2L2, PDGFRA, PIK3R1, POLE, RAC1, RB1, RHOA, SF3B1, SMARCB 1, SRC, TSC1, TSC2, U2AF1, VHL.</w:t>
      </w:r>
    </w:p>
    <w:p>
      <w:pPr>
        <w:spacing w:after="0" w:line="21" w:lineRule="exact"/>
        <w:rPr>
          <w:sz w:val="24"/>
          <w:szCs w:val="24"/>
          <w:color w:val="auto"/>
        </w:rPr>
      </w:pPr>
    </w:p>
    <w:p>
      <w:pPr>
        <w:jc w:val="both"/>
        <w:ind w:firstLine="720"/>
        <w:spacing w:after="0" w:line="257" w:lineRule="auto"/>
        <w:rPr>
          <w:sz w:val="20"/>
          <w:szCs w:val="20"/>
          <w:color w:val="auto"/>
        </w:rPr>
      </w:pPr>
      <w:r>
        <w:rPr>
          <w:rFonts w:ascii="Times New Roman" w:cs="Times New Roman" w:eastAsia="Times New Roman" w:hAnsi="Times New Roman"/>
          <w:sz w:val="24"/>
          <w:szCs w:val="24"/>
          <w:color w:val="auto"/>
        </w:rPr>
        <w:t>Histopathological examination demonstrated multiple sinchronous tumors. The patients has liver cavernous hemangioma, muliple small intestinal neuroendocrine tumor Grade 2 (NET Grade 2) measured 0.4 cm ø and 0,6 cm ø , pT3(m)N0M0 and Grade 3 colorectal adenocarcinoma, pT2N1cM0. Immunohistochemical examination confirmed NET diagnosis, the tumor was positive for chromogranene and synaptophysine, Ki-67 index was 5%. The Grade 3 colorectal adenocarcinoma was positive for CKAE1/AE3.</w:t>
      </w:r>
    </w:p>
    <w:p>
      <w:pPr>
        <w:spacing w:after="0" w:line="15" w:lineRule="exact"/>
        <w:rPr>
          <w:sz w:val="24"/>
          <w:szCs w:val="24"/>
          <w:color w:val="auto"/>
        </w:rPr>
      </w:pPr>
    </w:p>
    <w:p>
      <w:pPr>
        <w:jc w:val="both"/>
        <w:ind w:firstLine="720"/>
        <w:spacing w:after="0" w:line="255" w:lineRule="auto"/>
        <w:rPr>
          <w:sz w:val="20"/>
          <w:szCs w:val="20"/>
          <w:color w:val="auto"/>
        </w:rPr>
      </w:pPr>
      <w:r>
        <w:rPr>
          <w:rFonts w:ascii="Times New Roman" w:cs="Times New Roman" w:eastAsia="Times New Roman" w:hAnsi="Times New Roman"/>
          <w:sz w:val="24"/>
          <w:szCs w:val="24"/>
          <w:color w:val="auto"/>
        </w:rPr>
        <w:t>Obtained results showed that small intestine NET had CDKN1B, DAXX and ATRX mutations, however MLH1, MSH2, MSH6, PMS2 mutations have not been observed. Colorectal adenocarcinoma had p53, SMAD4, PIK3CA and BRAF mutations, however MLH1, MSH2, MSH6, PMS2 and KRAS mutations have not been identified.</w:t>
      </w:r>
    </w:p>
    <w:p>
      <w:pPr>
        <w:spacing w:after="0" w:line="17" w:lineRule="exact"/>
        <w:rPr>
          <w:sz w:val="24"/>
          <w:szCs w:val="24"/>
          <w:color w:val="auto"/>
        </w:rPr>
      </w:pPr>
    </w:p>
    <w:p>
      <w:pPr>
        <w:jc w:val="both"/>
        <w:ind w:firstLine="720"/>
        <w:spacing w:after="0" w:line="248" w:lineRule="auto"/>
        <w:rPr>
          <w:sz w:val="20"/>
          <w:szCs w:val="20"/>
          <w:color w:val="auto"/>
        </w:rPr>
      </w:pPr>
      <w:r>
        <w:rPr>
          <w:rFonts w:ascii="Times New Roman" w:cs="Times New Roman" w:eastAsia="Times New Roman" w:hAnsi="Times New Roman"/>
          <w:sz w:val="24"/>
          <w:szCs w:val="24"/>
          <w:color w:val="auto"/>
        </w:rPr>
        <w:t>To conclude, our case report rare coexistent synchronous tumors-liver cavernous hemangioma, small intestinal neuroendocrine tumors and colorectal adenocarcinoma.</w:t>
      </w:r>
    </w:p>
    <w:p>
      <w:pPr>
        <w:spacing w:after="0" w:line="25" w:lineRule="exact"/>
        <w:rPr>
          <w:sz w:val="24"/>
          <w:szCs w:val="24"/>
          <w:color w:val="auto"/>
        </w:rPr>
      </w:pPr>
    </w:p>
    <w:p>
      <w:pPr>
        <w:jc w:val="both"/>
        <w:ind w:firstLine="720"/>
        <w:spacing w:after="0" w:line="254" w:lineRule="auto"/>
        <w:rPr>
          <w:sz w:val="20"/>
          <w:szCs w:val="20"/>
          <w:color w:val="auto"/>
        </w:rPr>
      </w:pPr>
      <w:r>
        <w:rPr>
          <w:rFonts w:ascii="Times New Roman" w:cs="Times New Roman" w:eastAsia="Times New Roman" w:hAnsi="Times New Roman"/>
          <w:sz w:val="24"/>
          <w:szCs w:val="24"/>
          <w:color w:val="auto"/>
        </w:rPr>
        <w:t>Based on NGS analysis small intestinal NET more likely corresponded to MEN 4 syndrome, however the genetical mutations of colorectal carcinoma demonstrated MSI wild type tumour which did not fulfill with MEN syndrome.</w:t>
      </w:r>
    </w:p>
    <w:p>
      <w:pPr>
        <w:sectPr>
          <w:pgSz w:w="11900" w:h="16838" w:orient="portrait"/>
          <w:cols w:equalWidth="0" w:num="1">
            <w:col w:w="9740"/>
          </w:cols>
          <w:pgMar w:left="1080" w:top="1440" w:right="1086" w:bottom="1041" w:gutter="0" w:footer="0" w:header="0"/>
        </w:sectPr>
      </w:pPr>
    </w:p>
    <w:bookmarkStart w:id="1" w:name="page2"/>
    <w:bookmarkEnd w:id="1"/>
    <w:p>
      <w:pPr>
        <w:spacing w:after="0" w:line="10" w:lineRule="exact"/>
        <w:rPr>
          <w:sz w:val="20"/>
          <w:szCs w:val="20"/>
          <w:color w:val="auto"/>
        </w:rPr>
      </w:pPr>
    </w:p>
    <w:p>
      <w:pPr>
        <w:jc w:val="both"/>
        <w:ind w:firstLine="720"/>
        <w:spacing w:after="0" w:line="253" w:lineRule="auto"/>
        <w:rPr>
          <w:sz w:val="20"/>
          <w:szCs w:val="20"/>
          <w:color w:val="auto"/>
        </w:rPr>
      </w:pPr>
      <w:r>
        <w:rPr>
          <w:rFonts w:ascii="Times New Roman" w:cs="Times New Roman" w:eastAsia="Times New Roman" w:hAnsi="Times New Roman"/>
          <w:sz w:val="24"/>
          <w:szCs w:val="24"/>
          <w:color w:val="auto"/>
        </w:rPr>
        <w:t>This case emphasizes that for synchronous cancer the surgical resection and hitopathological examination is requiered before systemic therapy regardless of the difference in prognosis between the synchronous tumors.</w:t>
      </w:r>
    </w:p>
    <w:p>
      <w:pPr>
        <w:spacing w:after="0" w:line="305"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Bibliography</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0</wp:posOffset>
            </wp:positionH>
            <wp:positionV relativeFrom="paragraph">
              <wp:posOffset>117475</wp:posOffset>
            </wp:positionV>
            <wp:extent cx="6130925" cy="16281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extLst>
                    </a:blip>
                    <a:srcRect/>
                    <a:stretch>
                      <a:fillRect/>
                    </a:stretch>
                  </pic:blipFill>
                  <pic:spPr bwMode="auto">
                    <a:xfrm>
                      <a:off x="0" y="0"/>
                      <a:ext cx="6130925" cy="1628140"/>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18" w:lineRule="exact"/>
        <w:rPr>
          <w:sz w:val="20"/>
          <w:szCs w:val="20"/>
          <w:color w:val="auto"/>
        </w:rPr>
      </w:pPr>
    </w:p>
    <w:p>
      <w:pPr>
        <w:jc w:val="both"/>
        <w:ind w:right="1500" w:firstLine="180"/>
        <w:spacing w:after="0" w:line="270" w:lineRule="auto"/>
        <w:rPr>
          <w:sz w:val="20"/>
          <w:szCs w:val="20"/>
          <w:color w:val="auto"/>
        </w:rPr>
      </w:pPr>
      <w:r>
        <w:rPr>
          <w:rFonts w:ascii="Times New Roman" w:cs="Times New Roman" w:eastAsia="Times New Roman" w:hAnsi="Times New Roman"/>
          <w:sz w:val="23"/>
          <w:szCs w:val="23"/>
          <w:color w:val="auto"/>
        </w:rPr>
        <w:t>Liga Sulca, MD, graduated from Faculty of Medicine, University of Latvia in 2020. Currently she is a 2 year resident at Riga East University Hospital, Centre of Pathology and University of Latvia. Interested in gastrointestinal pathology, renal pathology and neuropathology. Participated in different local and international scientific conferences.</w:t>
      </w:r>
    </w:p>
    <w:p>
      <w:pPr>
        <w:spacing w:after="0" w:line="149" w:lineRule="exact"/>
        <w:rPr>
          <w:sz w:val="20"/>
          <w:szCs w:val="20"/>
          <w:color w:val="auto"/>
        </w:rPr>
      </w:pPr>
    </w:p>
    <w:p>
      <w:pPr>
        <w:jc w:val="center"/>
        <w:ind w:right="1320"/>
        <w:spacing w:after="0"/>
        <w:rPr>
          <w:sz w:val="20"/>
          <w:szCs w:val="20"/>
          <w:color w:val="auto"/>
        </w:rPr>
      </w:pPr>
      <w:r>
        <w:rPr>
          <w:rFonts w:ascii="Times New Roman" w:cs="Times New Roman" w:eastAsia="Times New Roman" w:hAnsi="Times New Roman"/>
          <w:sz w:val="24"/>
          <w:szCs w:val="24"/>
          <w:color w:val="auto"/>
        </w:rPr>
        <w:t>Viktorija Kregere, MD. graduated from Faculty of Medicine, University of Latvia in</w:t>
      </w:r>
    </w:p>
    <w:p>
      <w:pPr>
        <w:spacing w:after="0" w:line="34" w:lineRule="exact"/>
        <w:rPr>
          <w:sz w:val="20"/>
          <w:szCs w:val="20"/>
          <w:color w:val="auto"/>
        </w:rPr>
      </w:pPr>
    </w:p>
    <w:p>
      <w:pPr>
        <w:jc w:val="both"/>
        <w:spacing w:after="0" w:line="253" w:lineRule="auto"/>
        <w:rPr>
          <w:sz w:val="20"/>
          <w:szCs w:val="20"/>
          <w:color w:val="auto"/>
        </w:rPr>
      </w:pPr>
      <w:r>
        <w:rPr>
          <w:rFonts w:ascii="Times New Roman" w:cs="Times New Roman" w:eastAsia="Times New Roman" w:hAnsi="Times New Roman"/>
          <w:sz w:val="24"/>
          <w:szCs w:val="24"/>
          <w:color w:val="auto"/>
        </w:rPr>
        <w:t>2017. Currently she is a 4 year resident at Riga East University Hospital, Centre of Pathology and University of Latvia. Interested in bone and soft tissue, prostate pathology and molecular pathology. Participated in different local and international scientific conferences.</w:t>
      </w:r>
    </w:p>
    <w:p>
      <w:pPr>
        <w:spacing w:after="0" w:line="181" w:lineRule="exact"/>
        <w:rPr>
          <w:sz w:val="20"/>
          <w:szCs w:val="20"/>
          <w:color w:val="auto"/>
        </w:rPr>
      </w:pPr>
    </w:p>
    <w:p>
      <w:pPr>
        <w:jc w:val="both"/>
        <w:ind w:firstLine="180"/>
        <w:spacing w:after="0" w:line="256" w:lineRule="auto"/>
        <w:rPr>
          <w:sz w:val="20"/>
          <w:szCs w:val="20"/>
          <w:color w:val="auto"/>
        </w:rPr>
      </w:pPr>
      <w:r>
        <w:rPr>
          <w:rFonts w:ascii="Times New Roman" w:cs="Times New Roman" w:eastAsia="Times New Roman" w:hAnsi="Times New Roman"/>
          <w:sz w:val="24"/>
          <w:szCs w:val="24"/>
          <w:color w:val="auto"/>
        </w:rPr>
        <w:t xml:space="preserve">Selga Savcenko, MD graduated from Faculty of Medicine, University of Latvia in 2017. She was a founder of student scientific pathology group at Faculty of Medicine, University of Latvia and its chair till 2017. Currently she is a 4 year resident at Riga East University Hospital, Centre of Pathology and University of Latvia. Interested in gynecological, gastrointestinal, breast and molecular pathology. Participated in different local and international scientific conferences. She published two </w:t>
      </w:r>
      <w:r>
        <w:rPr>
          <w:rFonts w:ascii="Times New Roman" w:cs="Times New Roman" w:eastAsia="Times New Roman" w:hAnsi="Times New Roman"/>
          <w:sz w:val="24"/>
          <w:szCs w:val="24"/>
          <w:i w:val="1"/>
          <w:iCs w:val="1"/>
          <w:color w:val="auto"/>
        </w:rPr>
        <w:t>PubMed</w:t>
      </w:r>
      <w:r>
        <w:rPr>
          <w:rFonts w:ascii="Times New Roman" w:cs="Times New Roman" w:eastAsia="Times New Roman" w:hAnsi="Times New Roman"/>
          <w:sz w:val="24"/>
          <w:szCs w:val="24"/>
          <w:color w:val="auto"/>
        </w:rPr>
        <w:t xml:space="preserve"> peer reviewed publications in journals Virchows Archiv and Diagnostics.</w:t>
      </w:r>
    </w:p>
    <w:p>
      <w:pPr>
        <w:spacing w:after="0" w:line="24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References</w:t>
      </w:r>
    </w:p>
    <w:p>
      <w:pPr>
        <w:spacing w:after="0" w:line="24" w:lineRule="exact"/>
        <w:rPr>
          <w:sz w:val="20"/>
          <w:szCs w:val="20"/>
          <w:color w:val="auto"/>
        </w:rPr>
      </w:pPr>
    </w:p>
    <w:p>
      <w:pPr>
        <w:spacing w:after="0"/>
        <w:rPr>
          <w:sz w:val="20"/>
          <w:szCs w:val="20"/>
          <w:color w:val="auto"/>
        </w:rPr>
      </w:pPr>
      <w:r>
        <w:rPr>
          <w:rFonts w:ascii="Times New Roman" w:cs="Times New Roman" w:eastAsia="Times New Roman" w:hAnsi="Times New Roman"/>
          <w:sz w:val="22"/>
          <w:szCs w:val="22"/>
          <w:color w:val="auto"/>
        </w:rPr>
        <w:t xml:space="preserve">Ahmed, F. W., Majeed, M. S., &amp; Kirresh., O. (2022, January -). </w:t>
      </w:r>
      <w:r>
        <w:rPr>
          <w:rFonts w:ascii="Times New Roman" w:cs="Times New Roman" w:eastAsia="Times New Roman" w:hAnsi="Times New Roman"/>
          <w:sz w:val="22"/>
          <w:szCs w:val="22"/>
          <w:i w:val="1"/>
          <w:iCs w:val="1"/>
          <w:color w:val="auto"/>
        </w:rPr>
        <w:t>NIH NLM</w:t>
      </w:r>
      <w:r>
        <w:rPr>
          <w:rFonts w:ascii="Times New Roman" w:cs="Times New Roman" w:eastAsia="Times New Roman" w:hAnsi="Times New Roman"/>
          <w:sz w:val="22"/>
          <w:szCs w:val="22"/>
          <w:color w:val="auto"/>
        </w:rPr>
        <w:t>.</w:t>
      </w:r>
    </w:p>
    <w:p>
      <w:pPr>
        <w:spacing w:after="0" w:line="32" w:lineRule="exact"/>
        <w:rPr>
          <w:sz w:val="20"/>
          <w:szCs w:val="20"/>
          <w:color w:val="auto"/>
        </w:rPr>
      </w:pPr>
    </w:p>
    <w:p>
      <w:pPr>
        <w:jc w:val="both"/>
        <w:ind w:left="720" w:right="20" w:hanging="719"/>
        <w:spacing w:after="0" w:line="254" w:lineRule="auto"/>
        <w:rPr>
          <w:sz w:val="20"/>
          <w:szCs w:val="20"/>
          <w:color w:val="auto"/>
        </w:rPr>
      </w:pPr>
      <w:r>
        <w:rPr>
          <w:rFonts w:ascii="Times New Roman" w:cs="Times New Roman" w:eastAsia="Times New Roman" w:hAnsi="Times New Roman"/>
          <w:sz w:val="22"/>
          <w:szCs w:val="22"/>
          <w:color w:val="auto"/>
        </w:rPr>
        <w:t xml:space="preserve">Anja Frederiksen, M. R. (2019). Clinical Features of Multiple Endocrine Neoplasia Type 4: Novel Pathogenic Variant and Review of Published Cases. </w:t>
      </w:r>
      <w:r>
        <w:rPr>
          <w:rFonts w:ascii="Times New Roman" w:cs="Times New Roman" w:eastAsia="Times New Roman" w:hAnsi="Times New Roman"/>
          <w:sz w:val="22"/>
          <w:szCs w:val="22"/>
          <w:i w:val="1"/>
          <w:iCs w:val="1"/>
          <w:color w:val="auto"/>
        </w:rPr>
        <w:t>The Journal of Clinical Endocrinology &amp; Metabolism</w:t>
      </w:r>
      <w:r>
        <w:rPr>
          <w:rFonts w:ascii="Times New Roman" w:cs="Times New Roman" w:eastAsia="Times New Roman" w:hAnsi="Times New Roman"/>
          <w:sz w:val="22"/>
          <w:szCs w:val="22"/>
          <w:color w:val="auto"/>
        </w:rPr>
        <w:t>, 3637– 3646.</w:t>
      </w:r>
    </w:p>
    <w:p>
      <w:pPr>
        <w:spacing w:after="0" w:line="4" w:lineRule="exact"/>
        <w:rPr>
          <w:sz w:val="20"/>
          <w:szCs w:val="20"/>
          <w:color w:val="auto"/>
        </w:rPr>
      </w:pPr>
    </w:p>
    <w:p>
      <w:pPr>
        <w:spacing w:after="0"/>
        <w:rPr>
          <w:sz w:val="20"/>
          <w:szCs w:val="20"/>
          <w:color w:val="auto"/>
        </w:rPr>
      </w:pPr>
      <w:r>
        <w:rPr>
          <w:rFonts w:ascii="Times New Roman" w:cs="Times New Roman" w:eastAsia="Times New Roman" w:hAnsi="Times New Roman"/>
          <w:sz w:val="22"/>
          <w:szCs w:val="22"/>
          <w:color w:val="auto"/>
        </w:rPr>
        <w:t>Irma Lemmens, W. J. (1997). Identification of the Multiple Endocrine Neoplasia Type 1 (MEN1) Gene.</w:t>
      </w:r>
    </w:p>
    <w:p>
      <w:pPr>
        <w:spacing w:after="0" w:line="21" w:lineRule="exact"/>
        <w:rPr>
          <w:sz w:val="20"/>
          <w:szCs w:val="20"/>
          <w:color w:val="auto"/>
        </w:rPr>
      </w:pPr>
    </w:p>
    <w:p>
      <w:pPr>
        <w:ind w:left="720"/>
        <w:spacing w:after="0"/>
        <w:rPr>
          <w:sz w:val="20"/>
          <w:szCs w:val="20"/>
          <w:color w:val="auto"/>
        </w:rPr>
      </w:pPr>
      <w:r>
        <w:rPr>
          <w:rFonts w:ascii="Times New Roman" w:cs="Times New Roman" w:eastAsia="Times New Roman" w:hAnsi="Times New Roman"/>
          <w:sz w:val="22"/>
          <w:szCs w:val="22"/>
          <w:i w:val="1"/>
          <w:iCs w:val="1"/>
          <w:color w:val="auto"/>
        </w:rPr>
        <w:t>Human Molecular Genetics, 6</w:t>
      </w:r>
      <w:r>
        <w:rPr>
          <w:rFonts w:ascii="Times New Roman" w:cs="Times New Roman" w:eastAsia="Times New Roman" w:hAnsi="Times New Roman"/>
          <w:sz w:val="22"/>
          <w:szCs w:val="22"/>
          <w:color w:val="auto"/>
        </w:rPr>
        <w:t>(7), 1177–1183.</w:t>
      </w:r>
    </w:p>
    <w:p>
      <w:pPr>
        <w:spacing w:after="0" w:line="32" w:lineRule="exact"/>
        <w:rPr>
          <w:sz w:val="20"/>
          <w:szCs w:val="20"/>
          <w:color w:val="auto"/>
        </w:rPr>
      </w:pPr>
    </w:p>
    <w:p>
      <w:pPr>
        <w:ind w:left="720" w:right="60" w:hanging="719"/>
        <w:spacing w:after="0" w:line="249" w:lineRule="auto"/>
        <w:rPr>
          <w:sz w:val="20"/>
          <w:szCs w:val="20"/>
          <w:color w:val="auto"/>
        </w:rPr>
      </w:pPr>
      <w:r>
        <w:rPr>
          <w:rFonts w:ascii="Times New Roman" w:cs="Times New Roman" w:eastAsia="Times New Roman" w:hAnsi="Times New Roman"/>
          <w:sz w:val="22"/>
          <w:szCs w:val="22"/>
          <w:color w:val="auto"/>
        </w:rPr>
        <w:t xml:space="preserve">Yumoto S, M. Y. (2020). Synchronous NET and colorectal cancer development: a case report. </w:t>
      </w:r>
      <w:r>
        <w:rPr>
          <w:rFonts w:ascii="Times New Roman" w:cs="Times New Roman" w:eastAsia="Times New Roman" w:hAnsi="Times New Roman"/>
          <w:sz w:val="22"/>
          <w:szCs w:val="22"/>
          <w:i w:val="1"/>
          <w:iCs w:val="1"/>
          <w:color w:val="auto"/>
        </w:rPr>
        <w:t>Surg Case Rep 2020, 6</w:t>
      </w:r>
      <w:r>
        <w:rPr>
          <w:rFonts w:ascii="Times New Roman" w:cs="Times New Roman" w:eastAsia="Times New Roman" w:hAnsi="Times New Roman"/>
          <w:sz w:val="22"/>
          <w:szCs w:val="22"/>
          <w:color w:val="auto"/>
        </w:rPr>
        <w:t>(1).</w:t>
      </w:r>
    </w:p>
    <w:p>
      <w:pPr>
        <w:spacing w:after="0" w:line="20" w:lineRule="exact"/>
        <w:rPr>
          <w:sz w:val="20"/>
          <w:szCs w:val="20"/>
          <w:color w:val="auto"/>
        </w:rPr>
      </w:pPr>
    </w:p>
    <w:p>
      <w:pPr>
        <w:ind w:left="720" w:right="700" w:hanging="719"/>
        <w:spacing w:after="0" w:line="248" w:lineRule="auto"/>
        <w:rPr>
          <w:sz w:val="20"/>
          <w:szCs w:val="20"/>
          <w:color w:val="auto"/>
        </w:rPr>
      </w:pPr>
      <w:r>
        <w:rPr>
          <w:rFonts w:ascii="Times New Roman" w:cs="Times New Roman" w:eastAsia="Times New Roman" w:hAnsi="Times New Roman"/>
          <w:sz w:val="22"/>
          <w:szCs w:val="22"/>
          <w:color w:val="auto"/>
        </w:rPr>
        <w:t xml:space="preserve">Rajesh V. Thakker, P. J. (2012). Clinical Practice Guidelines for Multiple Endocrine Neoplasia Type 1 (MEN1). </w:t>
      </w:r>
      <w:r>
        <w:rPr>
          <w:rFonts w:ascii="Times New Roman" w:cs="Times New Roman" w:eastAsia="Times New Roman" w:hAnsi="Times New Roman"/>
          <w:sz w:val="22"/>
          <w:szCs w:val="22"/>
          <w:i w:val="1"/>
          <w:iCs w:val="1"/>
          <w:color w:val="auto"/>
        </w:rPr>
        <w:t>The Journal of Clinical Endocrinology &amp; Metabolism, 97</w:t>
      </w:r>
      <w:r>
        <w:rPr>
          <w:rFonts w:ascii="Times New Roman" w:cs="Times New Roman" w:eastAsia="Times New Roman" w:hAnsi="Times New Roman"/>
          <w:sz w:val="22"/>
          <w:szCs w:val="22"/>
          <w:color w:val="auto"/>
        </w:rPr>
        <w:t>(9), 2990–3011.</w:t>
      </w:r>
    </w:p>
    <w:p>
      <w:pPr>
        <w:spacing w:after="0" w:line="24" w:lineRule="exact"/>
        <w:rPr>
          <w:sz w:val="20"/>
          <w:szCs w:val="20"/>
          <w:color w:val="auto"/>
        </w:rPr>
      </w:pPr>
    </w:p>
    <w:p>
      <w:pPr>
        <w:ind w:left="720" w:right="100" w:hanging="719"/>
        <w:spacing w:after="0" w:line="248" w:lineRule="auto"/>
        <w:rPr>
          <w:sz w:val="20"/>
          <w:szCs w:val="20"/>
          <w:color w:val="auto"/>
        </w:rPr>
      </w:pPr>
      <w:r>
        <w:rPr>
          <w:rFonts w:ascii="Times New Roman" w:cs="Times New Roman" w:eastAsia="Times New Roman" w:hAnsi="Times New Roman"/>
          <w:sz w:val="22"/>
          <w:szCs w:val="22"/>
          <w:color w:val="auto"/>
        </w:rPr>
        <w:t xml:space="preserve">Rami Alrezk, F. H.-S. (2017). MEN4 and CDKN1B mutations: the latest of the MEN syndromes. </w:t>
      </w:r>
      <w:r>
        <w:rPr>
          <w:rFonts w:ascii="Times New Roman" w:cs="Times New Roman" w:eastAsia="Times New Roman" w:hAnsi="Times New Roman"/>
          <w:sz w:val="22"/>
          <w:szCs w:val="22"/>
          <w:i w:val="1"/>
          <w:iCs w:val="1"/>
          <w:color w:val="auto"/>
        </w:rPr>
        <w:t>Endocrine-Related Cance, 24</w:t>
      </w:r>
      <w:r>
        <w:rPr>
          <w:rFonts w:ascii="Times New Roman" w:cs="Times New Roman" w:eastAsia="Times New Roman" w:hAnsi="Times New Roman"/>
          <w:sz w:val="22"/>
          <w:szCs w:val="22"/>
          <w:color w:val="auto"/>
        </w:rPr>
        <w:t>(10), T195–T208.</w:t>
      </w:r>
    </w:p>
    <w:p>
      <w:pPr>
        <w:spacing w:after="0" w:line="22" w:lineRule="exact"/>
        <w:rPr>
          <w:sz w:val="20"/>
          <w:szCs w:val="20"/>
          <w:color w:val="auto"/>
        </w:rPr>
      </w:pPr>
    </w:p>
    <w:p>
      <w:pPr>
        <w:ind w:left="720" w:right="20" w:hanging="719"/>
        <w:spacing w:after="0" w:line="248" w:lineRule="auto"/>
        <w:rPr>
          <w:sz w:val="20"/>
          <w:szCs w:val="20"/>
          <w:color w:val="auto"/>
        </w:rPr>
      </w:pPr>
      <w:r>
        <w:rPr>
          <w:rFonts w:ascii="Times New Roman" w:cs="Times New Roman" w:eastAsia="Times New Roman" w:hAnsi="Times New Roman"/>
          <w:sz w:val="22"/>
          <w:szCs w:val="22"/>
          <w:color w:val="auto"/>
        </w:rPr>
        <w:t xml:space="preserve">RV, T. (2014). Multiple endocrine neoplasia type 1 (MEN1) and type 4 (MEN4). </w:t>
      </w:r>
      <w:r>
        <w:rPr>
          <w:rFonts w:ascii="Times New Roman" w:cs="Times New Roman" w:eastAsia="Times New Roman" w:hAnsi="Times New Roman"/>
          <w:sz w:val="22"/>
          <w:szCs w:val="22"/>
          <w:i w:val="1"/>
          <w:iCs w:val="1"/>
          <w:color w:val="auto"/>
        </w:rPr>
        <w:t>Mol Cell Endocrinol</w:t>
      </w:r>
      <w:r>
        <w:rPr>
          <w:rFonts w:ascii="Times New Roman" w:cs="Times New Roman" w:eastAsia="Times New Roman" w:hAnsi="Times New Roman"/>
          <w:sz w:val="22"/>
          <w:szCs w:val="22"/>
          <w:color w:val="auto"/>
        </w:rPr>
        <w:t>, 386(1-2):2-15.</w:t>
      </w:r>
    </w:p>
    <w:p>
      <w:pPr>
        <w:spacing w:after="0" w:line="24" w:lineRule="exact"/>
        <w:rPr>
          <w:sz w:val="20"/>
          <w:szCs w:val="20"/>
          <w:color w:val="auto"/>
        </w:rPr>
      </w:pPr>
    </w:p>
    <w:p>
      <w:pPr>
        <w:ind w:left="720" w:right="780" w:hanging="719"/>
        <w:spacing w:after="0" w:line="248" w:lineRule="auto"/>
        <w:rPr>
          <w:sz w:val="20"/>
          <w:szCs w:val="20"/>
          <w:color w:val="auto"/>
        </w:rPr>
      </w:pPr>
      <w:r>
        <w:rPr>
          <w:rFonts w:ascii="Times New Roman" w:cs="Times New Roman" w:eastAsia="Times New Roman" w:hAnsi="Times New Roman"/>
          <w:sz w:val="22"/>
          <w:szCs w:val="22"/>
          <w:color w:val="auto"/>
        </w:rPr>
        <w:t xml:space="preserve">Schernthaner-Reiter M, H. T. (2016). MEN1, MEN4, and Carney Complex: Pathology and Molecular Genetics. </w:t>
      </w:r>
      <w:r>
        <w:rPr>
          <w:rFonts w:ascii="Times New Roman" w:cs="Times New Roman" w:eastAsia="Times New Roman" w:hAnsi="Times New Roman"/>
          <w:sz w:val="22"/>
          <w:szCs w:val="22"/>
          <w:i w:val="1"/>
          <w:iCs w:val="1"/>
          <w:color w:val="auto"/>
        </w:rPr>
        <w:t>Neuroendocrinology</w:t>
      </w:r>
      <w:r>
        <w:rPr>
          <w:rFonts w:ascii="Times New Roman" w:cs="Times New Roman" w:eastAsia="Times New Roman" w:hAnsi="Times New Roman"/>
          <w:sz w:val="22"/>
          <w:szCs w:val="22"/>
          <w:color w:val="auto"/>
        </w:rPr>
        <w:t>, 103:18-31.</w:t>
      </w:r>
    </w:p>
    <w:sectPr>
      <w:pgSz w:w="11900" w:h="16838" w:orient="portrait"/>
      <w:cols w:equalWidth="0" w:num="1">
        <w:col w:w="9740"/>
      </w:cols>
      <w:pgMar w:left="1080" w:top="1440" w:right="1086"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2022-05-30T11:08:24Z</dcterms:created>
  <dcterms:modified xsi:type="dcterms:W3CDTF">2022-05-30T11:08:24Z</dcterms:modified>
</cp:coreProperties>
</file>