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372AD" w:rsidRDefault="003103F2">
      <w:pPr>
        <w:jc w:val="center"/>
        <w:rPr>
          <w:rFonts w:ascii="Times New Roman" w:eastAsia="Times New Roman" w:hAnsi="Times New Roman" w:cs="Times New Roman"/>
          <w:b/>
          <w:u w:val="single"/>
        </w:rPr>
      </w:pPr>
      <w:r>
        <w:rPr>
          <w:rFonts w:ascii="Times New Roman" w:eastAsia="Times New Roman" w:hAnsi="Times New Roman" w:cs="Times New Roman"/>
          <w:b/>
          <w:u w:val="single"/>
        </w:rPr>
        <w:t>Tetanus Audit</w:t>
      </w:r>
    </w:p>
    <w:p w14:paraId="00000002" w14:textId="77777777" w:rsidR="001372AD" w:rsidRDefault="003103F2">
      <w:pPr>
        <w:jc w:val="center"/>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p>
    <w:p w14:paraId="6B2AF239" w14:textId="5B1C1367" w:rsidR="00F132DE" w:rsidRPr="00F132DE" w:rsidRDefault="009C50D2">
      <w:pPr>
        <w:rPr>
          <w:rFonts w:ascii="Times New Roman" w:eastAsia="Times New Roman" w:hAnsi="Times New Roman" w:cs="Times New Roman"/>
          <w:color w:val="000000" w:themeColor="text1"/>
        </w:rPr>
      </w:pPr>
      <w:bookmarkStart w:id="0" w:name="_GoBack"/>
      <w:r>
        <w:rPr>
          <w:rFonts w:ascii="Times New Roman" w:eastAsia="Times New Roman" w:hAnsi="Times New Roman" w:cs="Times New Roman"/>
          <w:color w:val="000000" w:themeColor="text1"/>
        </w:rPr>
        <w:t>Is tetanus prophylaxis being administered</w:t>
      </w:r>
      <w:r w:rsidR="0043158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to patients presenting with tetanus prone wounds</w:t>
      </w:r>
      <w:r w:rsidR="00AE26C5">
        <w:rPr>
          <w:rFonts w:ascii="Times New Roman" w:eastAsia="Times New Roman" w:hAnsi="Times New Roman" w:cs="Times New Roman"/>
          <w:color w:val="000000" w:themeColor="text1"/>
        </w:rPr>
        <w:t xml:space="preserve"> according to national guidance</w:t>
      </w:r>
      <w:r>
        <w:rPr>
          <w:rFonts w:ascii="Times New Roman" w:eastAsia="Times New Roman" w:hAnsi="Times New Roman" w:cs="Times New Roman"/>
          <w:color w:val="000000" w:themeColor="text1"/>
        </w:rPr>
        <w:t>?</w:t>
      </w:r>
    </w:p>
    <w:bookmarkEnd w:id="0"/>
    <w:p w14:paraId="081B22C7" w14:textId="77777777" w:rsidR="00F132DE" w:rsidRDefault="00F132DE">
      <w:pPr>
        <w:rPr>
          <w:rFonts w:ascii="Times New Roman" w:eastAsia="Times New Roman" w:hAnsi="Times New Roman" w:cs="Times New Roman"/>
          <w:color w:val="000000" w:themeColor="text1"/>
          <w:u w:val="single"/>
        </w:rPr>
      </w:pPr>
    </w:p>
    <w:p w14:paraId="00000003" w14:textId="699B5BBC" w:rsidR="001372AD" w:rsidRPr="002A345B" w:rsidRDefault="003103F2">
      <w:pPr>
        <w:rPr>
          <w:rFonts w:ascii="Times New Roman" w:eastAsia="Times New Roman" w:hAnsi="Times New Roman" w:cs="Times New Roman"/>
          <w:color w:val="000000" w:themeColor="text1"/>
          <w:u w:val="single"/>
        </w:rPr>
      </w:pPr>
      <w:r w:rsidRPr="002A345B">
        <w:rPr>
          <w:rFonts w:ascii="Times New Roman" w:eastAsia="Times New Roman" w:hAnsi="Times New Roman" w:cs="Times New Roman"/>
          <w:color w:val="000000" w:themeColor="text1"/>
          <w:u w:val="single"/>
        </w:rPr>
        <w:t>Introduction</w:t>
      </w:r>
    </w:p>
    <w:p w14:paraId="00000004" w14:textId="77777777" w:rsidR="001372AD" w:rsidRPr="002A345B" w:rsidRDefault="001372AD">
      <w:pPr>
        <w:rPr>
          <w:rFonts w:ascii="Times New Roman" w:eastAsia="Times New Roman" w:hAnsi="Times New Roman" w:cs="Times New Roman"/>
          <w:color w:val="000000" w:themeColor="text1"/>
        </w:rPr>
      </w:pPr>
    </w:p>
    <w:p w14:paraId="00000005" w14:textId="087287F1" w:rsidR="001372AD" w:rsidRPr="002A345B" w:rsidRDefault="003103F2">
      <w:pPr>
        <w:rPr>
          <w:rFonts w:ascii="Times New Roman" w:eastAsia="Times New Roman" w:hAnsi="Times New Roman" w:cs="Times New Roman"/>
          <w:color w:val="000000" w:themeColor="text1"/>
        </w:rPr>
      </w:pPr>
      <w:r w:rsidRPr="002A345B">
        <w:rPr>
          <w:rFonts w:ascii="Times New Roman" w:eastAsia="Times New Roman" w:hAnsi="Times New Roman" w:cs="Times New Roman"/>
          <w:color w:val="000000" w:themeColor="text1"/>
        </w:rPr>
        <w:t>Tetanus is a potentially life threatening illness which occurs when germination of Clostridium tetani produces a neurotoxin. The cases of tetanus are now rare due to the tetanus vaccine given in childhood as part of the immunisation programme.</w:t>
      </w:r>
      <w:r w:rsidRPr="002A345B">
        <w:rPr>
          <w:rFonts w:ascii="Times New Roman" w:eastAsia="Times New Roman" w:hAnsi="Times New Roman" w:cs="Times New Roman"/>
          <w:color w:val="000000" w:themeColor="text1"/>
          <w:highlight w:val="white"/>
        </w:rPr>
        <w:t xml:space="preserve"> It is vital we recognise the importance of the accurate identification and management of tetanus prone wounds and the fatal consequences from untreated injuries in susceptible individuals</w:t>
      </w:r>
      <w:r w:rsidRPr="002A345B">
        <w:rPr>
          <w:rFonts w:ascii="Times New Roman" w:eastAsia="Times New Roman" w:hAnsi="Times New Roman" w:cs="Times New Roman"/>
          <w:color w:val="000000" w:themeColor="text1"/>
        </w:rPr>
        <w:t xml:space="preserve">. The National institute of Clinical Excellence (NICE) highlights tetanus prone wounds </w:t>
      </w:r>
      <w:r w:rsidR="00E457D4">
        <w:rPr>
          <w:rFonts w:ascii="Times New Roman" w:eastAsia="Times New Roman" w:hAnsi="Times New Roman" w:cs="Times New Roman"/>
          <w:color w:val="000000" w:themeColor="text1"/>
        </w:rPr>
        <w:t>as</w:t>
      </w:r>
      <w:r w:rsidRPr="002A345B">
        <w:rPr>
          <w:rFonts w:ascii="Times New Roman" w:eastAsia="Times New Roman" w:hAnsi="Times New Roman" w:cs="Times New Roman"/>
          <w:color w:val="000000" w:themeColor="text1"/>
        </w:rPr>
        <w:t xml:space="preserve"> the following: wounds that require surgical intervention; puncture-type injury including animal bites; containing foreign bodies; compound fractures; wounds where patients are septic. Wounds are common presentation</w:t>
      </w:r>
      <w:r w:rsidR="00FB7A4C">
        <w:rPr>
          <w:rFonts w:ascii="Times New Roman" w:eastAsia="Times New Roman" w:hAnsi="Times New Roman" w:cs="Times New Roman"/>
          <w:color w:val="000000" w:themeColor="text1"/>
        </w:rPr>
        <w:t>s</w:t>
      </w:r>
      <w:r w:rsidRPr="002A345B">
        <w:rPr>
          <w:rFonts w:ascii="Times New Roman" w:eastAsia="Times New Roman" w:hAnsi="Times New Roman" w:cs="Times New Roman"/>
          <w:color w:val="000000" w:themeColor="text1"/>
        </w:rPr>
        <w:t xml:space="preserve"> to the Emergency Department and it is important we recognise and initiate prompt treatment for tetanus risk</w:t>
      </w:r>
      <w:r w:rsidR="00E457D4">
        <w:rPr>
          <w:rFonts w:ascii="Times New Roman" w:eastAsia="Times New Roman" w:hAnsi="Times New Roman" w:cs="Times New Roman"/>
          <w:color w:val="000000" w:themeColor="text1"/>
        </w:rPr>
        <w:t>.</w:t>
      </w:r>
    </w:p>
    <w:p w14:paraId="00000006" w14:textId="77777777" w:rsidR="001372AD" w:rsidRPr="002A345B" w:rsidRDefault="001372AD">
      <w:pPr>
        <w:rPr>
          <w:rFonts w:ascii="Times New Roman" w:eastAsia="Times New Roman" w:hAnsi="Times New Roman" w:cs="Times New Roman"/>
          <w:color w:val="000000" w:themeColor="text1"/>
        </w:rPr>
      </w:pPr>
    </w:p>
    <w:p w14:paraId="00000007" w14:textId="77777777" w:rsidR="001372AD" w:rsidRPr="002A345B" w:rsidRDefault="003103F2">
      <w:pPr>
        <w:rPr>
          <w:rFonts w:ascii="Times New Roman" w:eastAsia="Times New Roman" w:hAnsi="Times New Roman" w:cs="Times New Roman"/>
          <w:color w:val="000000" w:themeColor="text1"/>
          <w:u w:val="single"/>
        </w:rPr>
      </w:pPr>
      <w:r w:rsidRPr="002A345B">
        <w:rPr>
          <w:rFonts w:ascii="Times New Roman" w:eastAsia="Times New Roman" w:hAnsi="Times New Roman" w:cs="Times New Roman"/>
          <w:color w:val="000000" w:themeColor="text1"/>
          <w:u w:val="single"/>
        </w:rPr>
        <w:t>Aims</w:t>
      </w:r>
    </w:p>
    <w:p w14:paraId="00000008" w14:textId="77777777" w:rsidR="001372AD" w:rsidRPr="002A345B" w:rsidRDefault="001372AD">
      <w:pPr>
        <w:rPr>
          <w:rFonts w:ascii="Times New Roman" w:eastAsia="Times New Roman" w:hAnsi="Times New Roman" w:cs="Times New Roman"/>
          <w:color w:val="000000" w:themeColor="text1"/>
        </w:rPr>
      </w:pPr>
    </w:p>
    <w:p w14:paraId="00000009" w14:textId="4F754C10" w:rsidR="001372AD" w:rsidRPr="002A345B" w:rsidRDefault="003103F2">
      <w:pPr>
        <w:rPr>
          <w:rFonts w:ascii="Times New Roman" w:eastAsia="Times New Roman" w:hAnsi="Times New Roman" w:cs="Times New Roman"/>
          <w:color w:val="000000" w:themeColor="text1"/>
        </w:rPr>
      </w:pPr>
      <w:r w:rsidRPr="002A345B">
        <w:rPr>
          <w:rFonts w:ascii="Times New Roman" w:eastAsia="Times New Roman" w:hAnsi="Times New Roman" w:cs="Times New Roman"/>
          <w:color w:val="000000" w:themeColor="text1"/>
        </w:rPr>
        <w:t xml:space="preserve">The aim of this </w:t>
      </w:r>
      <w:r w:rsidR="00F132DE">
        <w:rPr>
          <w:rFonts w:ascii="Times New Roman" w:eastAsia="Times New Roman" w:hAnsi="Times New Roman" w:cs="Times New Roman"/>
          <w:color w:val="000000" w:themeColor="text1"/>
        </w:rPr>
        <w:t>audit</w:t>
      </w:r>
      <w:r w:rsidRPr="002A345B">
        <w:rPr>
          <w:rFonts w:ascii="Times New Roman" w:eastAsia="Times New Roman" w:hAnsi="Times New Roman" w:cs="Times New Roman"/>
          <w:color w:val="000000" w:themeColor="text1"/>
        </w:rPr>
        <w:t xml:space="preserve"> was to identify all patients presenting to the Emergency department with tetanus prone wounds and assess if tetanus treatment was administered to susceptible individuals. </w:t>
      </w:r>
    </w:p>
    <w:p w14:paraId="0000000A" w14:textId="77777777" w:rsidR="001372AD" w:rsidRPr="002A345B" w:rsidRDefault="003103F2">
      <w:pPr>
        <w:rPr>
          <w:rFonts w:ascii="Times New Roman" w:eastAsia="Times New Roman" w:hAnsi="Times New Roman" w:cs="Times New Roman"/>
          <w:color w:val="000000" w:themeColor="text1"/>
        </w:rPr>
      </w:pPr>
      <w:r w:rsidRPr="002A345B">
        <w:rPr>
          <w:rFonts w:ascii="Times New Roman" w:eastAsia="Times New Roman" w:hAnsi="Times New Roman" w:cs="Times New Roman"/>
          <w:color w:val="000000" w:themeColor="text1"/>
        </w:rPr>
        <w:t xml:space="preserve"> </w:t>
      </w:r>
    </w:p>
    <w:p w14:paraId="0000000B" w14:textId="77777777" w:rsidR="001372AD" w:rsidRPr="002A345B" w:rsidRDefault="003103F2">
      <w:pPr>
        <w:rPr>
          <w:rFonts w:ascii="Times New Roman" w:eastAsia="Times New Roman" w:hAnsi="Times New Roman" w:cs="Times New Roman"/>
          <w:color w:val="000000" w:themeColor="text1"/>
          <w:u w:val="single"/>
        </w:rPr>
      </w:pPr>
      <w:r w:rsidRPr="002A345B">
        <w:rPr>
          <w:rFonts w:ascii="Times New Roman" w:eastAsia="Times New Roman" w:hAnsi="Times New Roman" w:cs="Times New Roman"/>
          <w:color w:val="000000" w:themeColor="text1"/>
          <w:u w:val="single"/>
        </w:rPr>
        <w:t>Methods</w:t>
      </w:r>
    </w:p>
    <w:p w14:paraId="690EBE23" w14:textId="77777777" w:rsidR="0020701A" w:rsidRDefault="0020701A">
      <w:pPr>
        <w:rPr>
          <w:rFonts w:ascii="Times New Roman" w:eastAsia="Times New Roman" w:hAnsi="Times New Roman" w:cs="Times New Roman"/>
          <w:color w:val="000000" w:themeColor="text1"/>
        </w:rPr>
      </w:pPr>
    </w:p>
    <w:p w14:paraId="0000000C" w14:textId="4181404E" w:rsidR="001372AD" w:rsidRPr="002A345B" w:rsidRDefault="003103F2">
      <w:pPr>
        <w:rPr>
          <w:rFonts w:ascii="Times New Roman" w:eastAsia="Times New Roman" w:hAnsi="Times New Roman" w:cs="Times New Roman"/>
          <w:color w:val="000000" w:themeColor="text1"/>
          <w:highlight w:val="white"/>
        </w:rPr>
      </w:pPr>
      <w:r w:rsidRPr="002A345B">
        <w:rPr>
          <w:rFonts w:ascii="Times New Roman" w:eastAsia="Times New Roman" w:hAnsi="Times New Roman" w:cs="Times New Roman"/>
          <w:color w:val="000000" w:themeColor="text1"/>
        </w:rPr>
        <w:t xml:space="preserve">78 patients with tetanus prone wounds between October 2021 - December 2021 and 84 patients </w:t>
      </w:r>
      <w:proofErr w:type="gramStart"/>
      <w:r w:rsidRPr="002A345B">
        <w:rPr>
          <w:rFonts w:ascii="Times New Roman" w:eastAsia="Times New Roman" w:hAnsi="Times New Roman" w:cs="Times New Roman"/>
          <w:color w:val="000000" w:themeColor="text1"/>
        </w:rPr>
        <w:t>between February 2022 to April 2022</w:t>
      </w:r>
      <w:proofErr w:type="gramEnd"/>
      <w:r w:rsidRPr="002A345B">
        <w:rPr>
          <w:rFonts w:ascii="Times New Roman" w:eastAsia="Times New Roman" w:hAnsi="Times New Roman" w:cs="Times New Roman"/>
          <w:color w:val="000000" w:themeColor="text1"/>
        </w:rPr>
        <w:t xml:space="preserve"> presented to the Emergency Department. Electronic patient records were then retrospectively assessed to see if tetanus prophylaxis was administered to susceptible patients. Primary intervention included presentations to medical and nursing staff on the importance of tetanus prophylaxis. Secondary intervention included dissemination of posters in the Emergency department. It was evident approximately </w:t>
      </w:r>
      <w:r w:rsidRPr="002A345B">
        <w:rPr>
          <w:rFonts w:ascii="Times New Roman" w:eastAsia="Times New Roman" w:hAnsi="Times New Roman" w:cs="Times New Roman"/>
          <w:color w:val="000000" w:themeColor="text1"/>
          <w:highlight w:val="white"/>
        </w:rPr>
        <w:t xml:space="preserve">a third of staff who had knowledge of the local guidelines available said they were </w:t>
      </w:r>
      <w:r w:rsidR="009A3543">
        <w:rPr>
          <w:rFonts w:ascii="Times New Roman" w:eastAsia="Times New Roman" w:hAnsi="Times New Roman" w:cs="Times New Roman"/>
          <w:color w:val="000000" w:themeColor="text1"/>
          <w:highlight w:val="white"/>
        </w:rPr>
        <w:t xml:space="preserve">not </w:t>
      </w:r>
      <w:r w:rsidRPr="002A345B">
        <w:rPr>
          <w:rFonts w:ascii="Times New Roman" w:eastAsia="Times New Roman" w:hAnsi="Times New Roman" w:cs="Times New Roman"/>
          <w:color w:val="000000" w:themeColor="text1"/>
          <w:highlight w:val="white"/>
        </w:rPr>
        <w:t>always adhered to. These gaps in knowledge and lack of adherence to current national guidance can lead to patients receiving inadequate care.</w:t>
      </w:r>
    </w:p>
    <w:p w14:paraId="0000000D" w14:textId="77777777" w:rsidR="001372AD" w:rsidRPr="002A345B" w:rsidRDefault="003103F2">
      <w:pPr>
        <w:spacing w:line="276" w:lineRule="auto"/>
        <w:jc w:val="both"/>
        <w:rPr>
          <w:rFonts w:ascii="Times New Roman" w:eastAsia="Times New Roman" w:hAnsi="Times New Roman" w:cs="Times New Roman"/>
          <w:color w:val="000000" w:themeColor="text1"/>
        </w:rPr>
      </w:pPr>
      <w:r w:rsidRPr="002A345B">
        <w:rPr>
          <w:rFonts w:ascii="Times New Roman" w:eastAsia="Times New Roman" w:hAnsi="Times New Roman" w:cs="Times New Roman"/>
          <w:color w:val="000000" w:themeColor="text1"/>
        </w:rPr>
        <w:t xml:space="preserve"> </w:t>
      </w:r>
    </w:p>
    <w:p w14:paraId="0000000E" w14:textId="77777777" w:rsidR="001372AD" w:rsidRPr="002A345B" w:rsidRDefault="003103F2">
      <w:pPr>
        <w:rPr>
          <w:rFonts w:ascii="Times New Roman" w:eastAsia="Times New Roman" w:hAnsi="Times New Roman" w:cs="Times New Roman"/>
          <w:color w:val="000000" w:themeColor="text1"/>
          <w:u w:val="single"/>
        </w:rPr>
      </w:pPr>
      <w:r w:rsidRPr="002A345B">
        <w:rPr>
          <w:rFonts w:ascii="Times New Roman" w:eastAsia="Times New Roman" w:hAnsi="Times New Roman" w:cs="Times New Roman"/>
          <w:color w:val="000000" w:themeColor="text1"/>
          <w:u w:val="single"/>
        </w:rPr>
        <w:t>Results</w:t>
      </w:r>
    </w:p>
    <w:p w14:paraId="45E6882A" w14:textId="77777777" w:rsidR="0020701A" w:rsidRDefault="0020701A">
      <w:pPr>
        <w:rPr>
          <w:rFonts w:ascii="Times New Roman" w:eastAsia="Times New Roman" w:hAnsi="Times New Roman" w:cs="Times New Roman"/>
          <w:color w:val="000000" w:themeColor="text1"/>
        </w:rPr>
      </w:pPr>
    </w:p>
    <w:p w14:paraId="0000000F" w14:textId="709186DE" w:rsidR="001372AD" w:rsidRPr="002A345B" w:rsidRDefault="003103F2">
      <w:pPr>
        <w:rPr>
          <w:rFonts w:ascii="Times New Roman" w:eastAsia="Times New Roman" w:hAnsi="Times New Roman" w:cs="Times New Roman"/>
          <w:color w:val="000000" w:themeColor="text1"/>
        </w:rPr>
      </w:pPr>
      <w:r w:rsidRPr="002A345B">
        <w:rPr>
          <w:rFonts w:ascii="Times New Roman" w:eastAsia="Times New Roman" w:hAnsi="Times New Roman" w:cs="Times New Roman"/>
          <w:color w:val="000000" w:themeColor="text1"/>
        </w:rPr>
        <w:t xml:space="preserve">Between the collection period, intervention was introduced. Patients </w:t>
      </w:r>
      <w:r w:rsidR="00742177">
        <w:rPr>
          <w:rFonts w:ascii="Times New Roman" w:eastAsia="Times New Roman" w:hAnsi="Times New Roman" w:cs="Times New Roman"/>
          <w:color w:val="000000" w:themeColor="text1"/>
        </w:rPr>
        <w:t xml:space="preserve">who </w:t>
      </w:r>
      <w:r w:rsidRPr="002A345B">
        <w:rPr>
          <w:rFonts w:ascii="Times New Roman" w:eastAsia="Times New Roman" w:hAnsi="Times New Roman" w:cs="Times New Roman"/>
          <w:color w:val="000000" w:themeColor="text1"/>
        </w:rPr>
        <w:t>receiv</w:t>
      </w:r>
      <w:r w:rsidR="00742177">
        <w:rPr>
          <w:rFonts w:ascii="Times New Roman" w:eastAsia="Times New Roman" w:hAnsi="Times New Roman" w:cs="Times New Roman"/>
          <w:color w:val="000000" w:themeColor="text1"/>
        </w:rPr>
        <w:t xml:space="preserve">ed </w:t>
      </w:r>
      <w:r w:rsidRPr="002A345B">
        <w:rPr>
          <w:rFonts w:ascii="Times New Roman" w:eastAsia="Times New Roman" w:hAnsi="Times New Roman" w:cs="Times New Roman"/>
          <w:color w:val="000000" w:themeColor="text1"/>
        </w:rPr>
        <w:t>their recommended tetanus prophylaxis depending on their age and immunisation status improved from 65 (83%) to 80 (95%). Patients who did not receive tetanus</w:t>
      </w:r>
      <w:r w:rsidR="00CF756F">
        <w:rPr>
          <w:rFonts w:ascii="Times New Roman" w:eastAsia="Times New Roman" w:hAnsi="Times New Roman" w:cs="Times New Roman"/>
          <w:color w:val="000000" w:themeColor="text1"/>
        </w:rPr>
        <w:t xml:space="preserve"> treatment</w:t>
      </w:r>
      <w:r w:rsidRPr="002A345B">
        <w:rPr>
          <w:rFonts w:ascii="Times New Roman" w:eastAsia="Times New Roman" w:hAnsi="Times New Roman" w:cs="Times New Roman"/>
          <w:color w:val="000000" w:themeColor="text1"/>
        </w:rPr>
        <w:t xml:space="preserve"> but were eligible improved from 7 (54%) to 1 (25%). All patients who received treatment had accurate documentation of their immunisation status on their electronic records. </w:t>
      </w:r>
    </w:p>
    <w:p w14:paraId="56393AC0" w14:textId="77777777" w:rsidR="0020701A" w:rsidRDefault="0020701A">
      <w:pPr>
        <w:rPr>
          <w:rFonts w:ascii="Times New Roman" w:eastAsia="Times New Roman" w:hAnsi="Times New Roman" w:cs="Times New Roman"/>
          <w:color w:val="000000" w:themeColor="text1"/>
          <w:u w:val="single"/>
        </w:rPr>
      </w:pPr>
    </w:p>
    <w:p w14:paraId="00000011" w14:textId="380295CA" w:rsidR="001372AD" w:rsidRPr="002A345B" w:rsidRDefault="003103F2">
      <w:pPr>
        <w:rPr>
          <w:rFonts w:ascii="Times New Roman" w:eastAsia="Times New Roman" w:hAnsi="Times New Roman" w:cs="Times New Roman"/>
          <w:color w:val="000000" w:themeColor="text1"/>
          <w:u w:val="single"/>
        </w:rPr>
      </w:pPr>
      <w:r w:rsidRPr="002A345B">
        <w:rPr>
          <w:rFonts w:ascii="Times New Roman" w:eastAsia="Times New Roman" w:hAnsi="Times New Roman" w:cs="Times New Roman"/>
          <w:color w:val="000000" w:themeColor="text1"/>
          <w:u w:val="single"/>
        </w:rPr>
        <w:t>Conclusion</w:t>
      </w:r>
    </w:p>
    <w:p w14:paraId="7959E8A1" w14:textId="77777777" w:rsidR="00817C99" w:rsidRDefault="00817C99">
      <w:pPr>
        <w:rPr>
          <w:rFonts w:ascii="Times New Roman" w:eastAsia="Times New Roman" w:hAnsi="Times New Roman" w:cs="Times New Roman"/>
          <w:color w:val="000000" w:themeColor="text1"/>
        </w:rPr>
      </w:pPr>
    </w:p>
    <w:p w14:paraId="00000012" w14:textId="40E05642" w:rsidR="001372AD" w:rsidRPr="002A345B" w:rsidRDefault="003103F2">
      <w:pPr>
        <w:rPr>
          <w:rFonts w:ascii="Times New Roman" w:eastAsia="Times New Roman" w:hAnsi="Times New Roman" w:cs="Times New Roman"/>
          <w:color w:val="000000" w:themeColor="text1"/>
        </w:rPr>
      </w:pPr>
      <w:r w:rsidRPr="002A345B">
        <w:rPr>
          <w:rFonts w:ascii="Times New Roman" w:eastAsia="Times New Roman" w:hAnsi="Times New Roman" w:cs="Times New Roman"/>
          <w:color w:val="000000" w:themeColor="text1"/>
        </w:rPr>
        <w:t xml:space="preserve">To conclude, </w:t>
      </w:r>
      <w:proofErr w:type="gramStart"/>
      <w:r w:rsidRPr="002A345B">
        <w:rPr>
          <w:rFonts w:ascii="Times New Roman" w:eastAsia="Times New Roman" w:hAnsi="Times New Roman" w:cs="Times New Roman"/>
          <w:color w:val="000000" w:themeColor="text1"/>
        </w:rPr>
        <w:t>A</w:t>
      </w:r>
      <w:proofErr w:type="gramEnd"/>
      <w:r w:rsidRPr="002A345B">
        <w:rPr>
          <w:rFonts w:ascii="Times New Roman" w:eastAsia="Times New Roman" w:hAnsi="Times New Roman" w:cs="Times New Roman"/>
          <w:color w:val="000000" w:themeColor="text1"/>
        </w:rPr>
        <w:t xml:space="preserve"> longer period of data collection would highlight a more widespread result. However, </w:t>
      </w:r>
      <w:r w:rsidRPr="002A345B">
        <w:rPr>
          <w:rFonts w:ascii="Times New Roman" w:eastAsia="Times New Roman" w:hAnsi="Times New Roman" w:cs="Times New Roman"/>
          <w:color w:val="000000" w:themeColor="text1"/>
          <w:highlight w:val="white"/>
        </w:rPr>
        <w:t>taking the time to investigate a patient's vaccination history and provide timely prophylaxis, particularly to patients who are not known to be fully immunised, can prevent individuals from developing this life-threatening illness.</w:t>
      </w:r>
    </w:p>
    <w:p w14:paraId="00000014" w14:textId="77777777" w:rsidR="001372AD" w:rsidRDefault="001372AD"/>
    <w:p w14:paraId="00000018" w14:textId="77777777" w:rsidR="001372AD" w:rsidRDefault="003103F2">
      <w:pPr>
        <w:rPr>
          <w:rFonts w:ascii="Times New Roman" w:eastAsia="Times New Roman" w:hAnsi="Times New Roman" w:cs="Times New Roman"/>
        </w:rPr>
      </w:pPr>
      <w:r>
        <w:rPr>
          <w:rFonts w:ascii="Times New Roman" w:eastAsia="Times New Roman" w:hAnsi="Times New Roman" w:cs="Times New Roman"/>
        </w:rPr>
        <w:t>References:</w:t>
      </w:r>
    </w:p>
    <w:p w14:paraId="60B67C42" w14:textId="3440DD84" w:rsidR="0002368E" w:rsidRPr="0002368E" w:rsidRDefault="0002368E" w:rsidP="0002368E">
      <w:pPr>
        <w:pStyle w:val="ListParagraph"/>
        <w:numPr>
          <w:ilvl w:val="0"/>
          <w:numId w:val="1"/>
        </w:numPr>
        <w:rPr>
          <w:rFonts w:ascii="Times New Roman" w:eastAsia="Times New Roman" w:hAnsi="Times New Roman" w:cs="Times New Roman"/>
        </w:rPr>
      </w:pPr>
      <w:r w:rsidRPr="0002368E">
        <w:rPr>
          <w:rFonts w:ascii="Open Sans" w:eastAsia="Times New Roman" w:hAnsi="Open Sans" w:cs="Open Sans"/>
          <w:color w:val="000000"/>
          <w:sz w:val="20"/>
          <w:szCs w:val="20"/>
          <w:shd w:val="clear" w:color="auto" w:fill="FFFFFF"/>
        </w:rPr>
        <w:t>GOV.UK. 2022. </w:t>
      </w:r>
      <w:r w:rsidRPr="0002368E">
        <w:rPr>
          <w:rFonts w:ascii="Open Sans" w:eastAsia="Times New Roman" w:hAnsi="Open Sans" w:cs="Open Sans"/>
          <w:i/>
          <w:iCs/>
          <w:color w:val="000000"/>
          <w:sz w:val="20"/>
          <w:szCs w:val="20"/>
        </w:rPr>
        <w:t>Tetanus in England: 2020</w:t>
      </w:r>
      <w:r w:rsidRPr="0002368E">
        <w:rPr>
          <w:rFonts w:ascii="Open Sans" w:eastAsia="Times New Roman" w:hAnsi="Open Sans" w:cs="Open Sans"/>
          <w:color w:val="000000"/>
          <w:sz w:val="20"/>
          <w:szCs w:val="20"/>
          <w:shd w:val="clear" w:color="auto" w:fill="FFFFFF"/>
        </w:rPr>
        <w:t>. [online] Available at: &lt;https://www.gov.uk/government/publications/tetanus-in-england-and-wales-2013/tetanus-in-england-2020&gt; [Accessed 26 April 2022].</w:t>
      </w:r>
    </w:p>
    <w:p w14:paraId="0000001A" w14:textId="77777777" w:rsidR="001372AD" w:rsidRDefault="001372AD">
      <w:pPr>
        <w:rPr>
          <w:rFonts w:ascii="Times New Roman" w:eastAsia="Times New Roman" w:hAnsi="Times New Roman" w:cs="Times New Roman"/>
        </w:rPr>
      </w:pPr>
    </w:p>
    <w:p w14:paraId="0477EBC0" w14:textId="2D0D2661" w:rsidR="0002368E" w:rsidRPr="0002368E" w:rsidRDefault="0002368E" w:rsidP="0002368E">
      <w:pPr>
        <w:pStyle w:val="ListParagraph"/>
        <w:numPr>
          <w:ilvl w:val="0"/>
          <w:numId w:val="1"/>
        </w:numPr>
        <w:rPr>
          <w:rFonts w:ascii="Times New Roman" w:eastAsia="Times New Roman" w:hAnsi="Times New Roman" w:cs="Times New Roman"/>
        </w:rPr>
      </w:pPr>
      <w:r w:rsidRPr="0002368E">
        <w:rPr>
          <w:rFonts w:ascii="Open Sans" w:eastAsia="Times New Roman" w:hAnsi="Open Sans" w:cs="Open Sans"/>
          <w:color w:val="000000"/>
          <w:sz w:val="20"/>
          <w:szCs w:val="20"/>
          <w:shd w:val="clear" w:color="auto" w:fill="FFFFFF"/>
        </w:rPr>
        <w:t>GOV.UK. 2022. </w:t>
      </w:r>
      <w:r w:rsidRPr="0002368E">
        <w:rPr>
          <w:rFonts w:ascii="Open Sans" w:eastAsia="Times New Roman" w:hAnsi="Open Sans" w:cs="Open Sans"/>
          <w:i/>
          <w:iCs/>
          <w:color w:val="000000"/>
          <w:sz w:val="20"/>
          <w:szCs w:val="20"/>
        </w:rPr>
        <w:t>Tetanus: the green book, chapter 30</w:t>
      </w:r>
      <w:r w:rsidRPr="0002368E">
        <w:rPr>
          <w:rFonts w:ascii="Open Sans" w:eastAsia="Times New Roman" w:hAnsi="Open Sans" w:cs="Open Sans"/>
          <w:color w:val="000000"/>
          <w:sz w:val="20"/>
          <w:szCs w:val="20"/>
          <w:shd w:val="clear" w:color="auto" w:fill="FFFFFF"/>
        </w:rPr>
        <w:t>. [online] Available at: &lt;https://www.gov.uk/government/publications/tetanus-the-green-book-chapter-30&gt; [Accessed 28 April 2022].</w:t>
      </w:r>
    </w:p>
    <w:p w14:paraId="0000001F" w14:textId="77777777" w:rsidR="001372AD" w:rsidRDefault="001372AD">
      <w:pPr>
        <w:rPr>
          <w:rFonts w:ascii="Times New Roman" w:eastAsia="Times New Roman" w:hAnsi="Times New Roman" w:cs="Times New Roman"/>
        </w:rPr>
      </w:pPr>
    </w:p>
    <w:p w14:paraId="405FD42C" w14:textId="6AD3E0DB" w:rsidR="0002368E" w:rsidRPr="0002368E" w:rsidRDefault="0002368E" w:rsidP="0002368E">
      <w:pPr>
        <w:pStyle w:val="ListParagraph"/>
        <w:numPr>
          <w:ilvl w:val="0"/>
          <w:numId w:val="1"/>
        </w:numPr>
        <w:rPr>
          <w:rFonts w:ascii="Times New Roman" w:eastAsia="Times New Roman" w:hAnsi="Times New Roman" w:cs="Times New Roman"/>
        </w:rPr>
      </w:pPr>
      <w:r w:rsidRPr="0002368E">
        <w:rPr>
          <w:rFonts w:ascii="Open Sans" w:eastAsia="Times New Roman" w:hAnsi="Open Sans" w:cs="Open Sans"/>
          <w:color w:val="000000"/>
          <w:sz w:val="20"/>
          <w:szCs w:val="20"/>
          <w:shd w:val="clear" w:color="auto" w:fill="FFFFFF"/>
        </w:rPr>
        <w:t>Excellence, N., 2022. </w:t>
      </w:r>
      <w:r w:rsidRPr="0002368E">
        <w:rPr>
          <w:rFonts w:ascii="Open Sans" w:eastAsia="Times New Roman" w:hAnsi="Open Sans" w:cs="Open Sans"/>
          <w:i/>
          <w:iCs/>
          <w:color w:val="000000"/>
          <w:sz w:val="20"/>
          <w:szCs w:val="20"/>
        </w:rPr>
        <w:t>Tetanus vaccine | Treatment summary | BNF content published by NICE</w:t>
      </w:r>
      <w:r w:rsidRPr="0002368E">
        <w:rPr>
          <w:rFonts w:ascii="Open Sans" w:eastAsia="Times New Roman" w:hAnsi="Open Sans" w:cs="Open Sans"/>
          <w:color w:val="000000"/>
          <w:sz w:val="20"/>
          <w:szCs w:val="20"/>
          <w:shd w:val="clear" w:color="auto" w:fill="FFFFFF"/>
        </w:rPr>
        <w:t>. [online] Bnf.nice.org.uk. Available at: &lt;https://bnf.nice.org.uk/treatment-summary/tetanus-vaccine.html&gt; [Accessed 28 April 2022].</w:t>
      </w:r>
    </w:p>
    <w:p w14:paraId="00000020" w14:textId="68592EA8" w:rsidR="001372AD" w:rsidRDefault="001372AD" w:rsidP="0002368E">
      <w:pPr>
        <w:rPr>
          <w:rFonts w:ascii="Times New Roman" w:eastAsia="Times New Roman" w:hAnsi="Times New Roman" w:cs="Times New Roman"/>
        </w:rPr>
      </w:pPr>
    </w:p>
    <w:sectPr w:rsidR="001372A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E18B1"/>
    <w:multiLevelType w:val="hybridMultilevel"/>
    <w:tmpl w:val="EEB6670C"/>
    <w:lvl w:ilvl="0" w:tplc="D58603F4">
      <w:start w:val="63"/>
      <w:numFmt w:val="bullet"/>
      <w:lvlText w:val=""/>
      <w:lvlJc w:val="left"/>
      <w:pPr>
        <w:ind w:left="720" w:hanging="360"/>
      </w:pPr>
      <w:rPr>
        <w:rFonts w:ascii="Wingdings" w:eastAsia="Times New Roman" w:hAnsi="Wingdings" w:cs="Open Sans"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2AD"/>
    <w:rsid w:val="0002368E"/>
    <w:rsid w:val="001372AD"/>
    <w:rsid w:val="00144620"/>
    <w:rsid w:val="001A4C4A"/>
    <w:rsid w:val="0020701A"/>
    <w:rsid w:val="002A345B"/>
    <w:rsid w:val="003103F2"/>
    <w:rsid w:val="00431582"/>
    <w:rsid w:val="00742177"/>
    <w:rsid w:val="00817C99"/>
    <w:rsid w:val="009A3543"/>
    <w:rsid w:val="009C50D2"/>
    <w:rsid w:val="00A90634"/>
    <w:rsid w:val="00AE26C5"/>
    <w:rsid w:val="00CF756F"/>
    <w:rsid w:val="00E457D4"/>
    <w:rsid w:val="00F132DE"/>
    <w:rsid w:val="00FB259A"/>
    <w:rsid w:val="00FB7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9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02368E"/>
  </w:style>
  <w:style w:type="paragraph" w:styleId="ListParagraph">
    <w:name w:val="List Paragraph"/>
    <w:basedOn w:val="Normal"/>
    <w:uiPriority w:val="34"/>
    <w:qFormat/>
    <w:rsid w:val="000236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02368E"/>
  </w:style>
  <w:style w:type="paragraph" w:styleId="ListParagraph">
    <w:name w:val="List Paragraph"/>
    <w:basedOn w:val="Normal"/>
    <w:uiPriority w:val="34"/>
    <w:qFormat/>
    <w:rsid w:val="00023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073215">
      <w:bodyDiv w:val="1"/>
      <w:marLeft w:val="0"/>
      <w:marRight w:val="0"/>
      <w:marTop w:val="0"/>
      <w:marBottom w:val="0"/>
      <w:divBdr>
        <w:top w:val="none" w:sz="0" w:space="0" w:color="auto"/>
        <w:left w:val="none" w:sz="0" w:space="0" w:color="auto"/>
        <w:bottom w:val="none" w:sz="0" w:space="0" w:color="auto"/>
        <w:right w:val="none" w:sz="0" w:space="0" w:color="auto"/>
      </w:divBdr>
    </w:div>
    <w:div w:id="1761562972">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Rv/alpVssETSRC4f4RpkZ4O9Ew==">AMUW2mUIa6WZocfcTvRcDHjP7gxXxx8eRwhwu0Jtl30qRrLkpepF5JiPuNV6TRZjIYSDXaik1UfmefgIPmDZ3AusW4lkHRR7Vr+qWiyEz5j/TXrle2bIUEQr6zgl1bFGdMNjjDKgkXriVsJsmSKn52Dw/2XY9m6rkQ==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Majeed, Saad</dc:creator>
  <cp:lastModifiedBy>Emergency &amp; Acutecare Medicine</cp:lastModifiedBy>
  <cp:revision>2</cp:revision>
  <dcterms:created xsi:type="dcterms:W3CDTF">2022-05-30T09:36:00Z</dcterms:created>
  <dcterms:modified xsi:type="dcterms:W3CDTF">2022-05-30T09:36:00Z</dcterms:modified>
</cp:coreProperties>
</file>