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3EFE" w:rsidRDefault="00FD3EFE">
      <w:pPr>
        <w:spacing w:line="364" w:lineRule="exact"/>
        <w:rPr>
          <w:sz w:val="24"/>
          <w:szCs w:val="24"/>
        </w:rPr>
      </w:pPr>
      <w:bookmarkStart w:id="0" w:name="page1"/>
      <w:bookmarkStart w:id="1" w:name="_GoBack"/>
      <w:bookmarkEnd w:id="0"/>
      <w:bookmarkEnd w:id="1"/>
    </w:p>
    <w:p w:rsidR="00FD3EFE" w:rsidRDefault="002C3613">
      <w:pPr>
        <w:spacing w:line="287" w:lineRule="auto"/>
        <w:ind w:right="80"/>
        <w:jc w:val="both"/>
        <w:rPr>
          <w:sz w:val="20"/>
          <w:szCs w:val="20"/>
        </w:rPr>
      </w:pPr>
      <w:r>
        <w:rPr>
          <w:rFonts w:eastAsia="Times New Roman"/>
          <w:b/>
          <w:bCs/>
          <w:sz w:val="24"/>
          <w:szCs w:val="24"/>
        </w:rPr>
        <w:t>Dietary geraniol ameliorates intestinal dysbiosis and relieves symptoms in Irritable Bowel Syndrome Patients: a double-blind clinical trial.</w:t>
      </w:r>
    </w:p>
    <w:p w:rsidR="00FD3EFE" w:rsidRDefault="00FD3EFE">
      <w:pPr>
        <w:spacing w:line="164" w:lineRule="exact"/>
        <w:rPr>
          <w:sz w:val="24"/>
          <w:szCs w:val="24"/>
        </w:rPr>
      </w:pPr>
    </w:p>
    <w:p w:rsidR="00FD3EFE" w:rsidRDefault="002C3613">
      <w:pPr>
        <w:rPr>
          <w:sz w:val="20"/>
          <w:szCs w:val="20"/>
        </w:rPr>
      </w:pPr>
      <w:r>
        <w:rPr>
          <w:rFonts w:eastAsia="Times New Roman"/>
          <w:sz w:val="24"/>
          <w:szCs w:val="24"/>
        </w:rPr>
        <w:t>Chiara Ricci</w:t>
      </w:r>
      <w:r>
        <w:rPr>
          <w:rFonts w:eastAsia="Times New Roman"/>
          <w:sz w:val="31"/>
          <w:szCs w:val="31"/>
        </w:rPr>
        <w:t xml:space="preserve"> </w:t>
      </w:r>
      <w:r>
        <w:rPr>
          <w:rFonts w:eastAsia="Times New Roman"/>
          <w:sz w:val="31"/>
          <w:szCs w:val="31"/>
          <w:vertAlign w:val="superscript"/>
        </w:rPr>
        <w:t>1*,</w:t>
      </w:r>
      <w:r>
        <w:rPr>
          <w:rFonts w:eastAsia="Times New Roman"/>
          <w:sz w:val="24"/>
          <w:szCs w:val="24"/>
        </w:rPr>
        <w:t>, Fernando Rizzello</w:t>
      </w:r>
      <w:r>
        <w:rPr>
          <w:rFonts w:eastAsia="Times New Roman"/>
          <w:sz w:val="31"/>
          <w:szCs w:val="31"/>
        </w:rPr>
        <w:t xml:space="preserve"> </w:t>
      </w:r>
      <w:r>
        <w:rPr>
          <w:rFonts w:eastAsia="Times New Roman"/>
          <w:sz w:val="31"/>
          <w:szCs w:val="31"/>
          <w:vertAlign w:val="superscript"/>
        </w:rPr>
        <w:t>2*</w:t>
      </w:r>
      <w:r>
        <w:rPr>
          <w:rFonts w:eastAsia="Times New Roman"/>
          <w:sz w:val="24"/>
          <w:szCs w:val="24"/>
        </w:rPr>
        <w:t xml:space="preserve"> , Enzo Spisni</w:t>
      </w:r>
      <w:r>
        <w:rPr>
          <w:rFonts w:eastAsia="Times New Roman"/>
          <w:sz w:val="31"/>
          <w:szCs w:val="31"/>
        </w:rPr>
        <w:t xml:space="preserve"> </w:t>
      </w:r>
      <w:r>
        <w:rPr>
          <w:rFonts w:eastAsia="Times New Roman"/>
          <w:sz w:val="31"/>
          <w:szCs w:val="31"/>
          <w:vertAlign w:val="superscript"/>
        </w:rPr>
        <w:t>3</w:t>
      </w:r>
      <w:r>
        <w:rPr>
          <w:rFonts w:eastAsia="Times New Roman"/>
          <w:sz w:val="24"/>
          <w:szCs w:val="24"/>
        </w:rPr>
        <w:t>, Maria Chiara Valerii</w:t>
      </w:r>
      <w:r>
        <w:rPr>
          <w:rFonts w:eastAsia="Times New Roman"/>
          <w:sz w:val="31"/>
          <w:szCs w:val="31"/>
        </w:rPr>
        <w:t xml:space="preserve"> </w:t>
      </w:r>
      <w:r>
        <w:rPr>
          <w:rFonts w:eastAsia="Times New Roman"/>
          <w:sz w:val="31"/>
          <w:szCs w:val="31"/>
          <w:vertAlign w:val="superscript"/>
        </w:rPr>
        <w:t>3</w:t>
      </w:r>
      <w:r>
        <w:rPr>
          <w:rFonts w:eastAsia="Times New Roman"/>
          <w:sz w:val="24"/>
          <w:szCs w:val="24"/>
        </w:rPr>
        <w:t>, Paolo Gionchetti</w:t>
      </w:r>
      <w:r>
        <w:rPr>
          <w:rFonts w:eastAsia="Times New Roman"/>
          <w:sz w:val="31"/>
          <w:szCs w:val="31"/>
        </w:rPr>
        <w:t xml:space="preserve"> </w:t>
      </w:r>
      <w:r>
        <w:rPr>
          <w:rFonts w:eastAsia="Times New Roman"/>
          <w:sz w:val="31"/>
          <w:szCs w:val="31"/>
          <w:vertAlign w:val="superscript"/>
        </w:rPr>
        <w:t>2</w:t>
      </w:r>
      <w:r>
        <w:rPr>
          <w:rFonts w:eastAsia="Times New Roman"/>
          <w:sz w:val="24"/>
          <w:szCs w:val="24"/>
        </w:rPr>
        <w:t>, ,</w:t>
      </w:r>
    </w:p>
    <w:p w:rsidR="00FD3EFE" w:rsidRDefault="00FD3EFE">
      <w:pPr>
        <w:spacing w:line="196" w:lineRule="exact"/>
        <w:rPr>
          <w:sz w:val="24"/>
          <w:szCs w:val="24"/>
        </w:rPr>
      </w:pPr>
    </w:p>
    <w:p w:rsidR="00FD3EFE" w:rsidRDefault="002C3613">
      <w:pPr>
        <w:rPr>
          <w:sz w:val="20"/>
          <w:szCs w:val="20"/>
        </w:rPr>
      </w:pPr>
      <w:r>
        <w:rPr>
          <w:rFonts w:eastAsia="Times New Roman"/>
          <w:sz w:val="24"/>
          <w:szCs w:val="24"/>
        </w:rPr>
        <w:t xml:space="preserve">Silvia </w:t>
      </w:r>
      <w:r>
        <w:rPr>
          <w:rFonts w:eastAsia="Times New Roman"/>
          <w:sz w:val="24"/>
          <w:szCs w:val="24"/>
        </w:rPr>
        <w:t>Turroni</w:t>
      </w:r>
      <w:r>
        <w:rPr>
          <w:rFonts w:eastAsia="Times New Roman"/>
          <w:sz w:val="31"/>
          <w:szCs w:val="31"/>
        </w:rPr>
        <w:t xml:space="preserve"> </w:t>
      </w:r>
      <w:r>
        <w:rPr>
          <w:rFonts w:eastAsia="Times New Roman"/>
          <w:sz w:val="31"/>
          <w:szCs w:val="31"/>
          <w:vertAlign w:val="superscript"/>
        </w:rPr>
        <w:t>4</w:t>
      </w:r>
      <w:r>
        <w:rPr>
          <w:rFonts w:eastAsia="Times New Roman"/>
          <w:sz w:val="24"/>
          <w:szCs w:val="24"/>
        </w:rPr>
        <w:t>, Marco Candela</w:t>
      </w:r>
      <w:r>
        <w:rPr>
          <w:rFonts w:eastAsia="Times New Roman"/>
          <w:sz w:val="31"/>
          <w:szCs w:val="31"/>
        </w:rPr>
        <w:t xml:space="preserve"> </w:t>
      </w:r>
      <w:r>
        <w:rPr>
          <w:rFonts w:eastAsia="Times New Roman"/>
          <w:sz w:val="31"/>
          <w:szCs w:val="31"/>
          <w:vertAlign w:val="superscript"/>
        </w:rPr>
        <w:t>4</w:t>
      </w:r>
      <w:r>
        <w:rPr>
          <w:rFonts w:eastAsia="Times New Roman"/>
          <w:sz w:val="24"/>
          <w:szCs w:val="24"/>
        </w:rPr>
        <w:t>, Federica D’Amico</w:t>
      </w:r>
      <w:r>
        <w:rPr>
          <w:rFonts w:eastAsia="Times New Roman"/>
          <w:sz w:val="31"/>
          <w:szCs w:val="31"/>
        </w:rPr>
        <w:t xml:space="preserve"> </w:t>
      </w:r>
      <w:r>
        <w:rPr>
          <w:rFonts w:eastAsia="Times New Roman"/>
          <w:sz w:val="31"/>
          <w:szCs w:val="31"/>
          <w:vertAlign w:val="superscript"/>
        </w:rPr>
        <w:t>4</w:t>
      </w:r>
      <w:r>
        <w:rPr>
          <w:rFonts w:eastAsia="Times New Roman"/>
          <w:sz w:val="24"/>
          <w:szCs w:val="24"/>
        </w:rPr>
        <w:t>, Renato Spigarelli 3, Irene Bellocchio</w:t>
      </w:r>
      <w:r>
        <w:rPr>
          <w:rFonts w:eastAsia="Times New Roman"/>
          <w:sz w:val="31"/>
          <w:szCs w:val="31"/>
        </w:rPr>
        <w:t xml:space="preserve"> </w:t>
      </w:r>
      <w:r>
        <w:rPr>
          <w:rFonts w:eastAsia="Times New Roman"/>
          <w:sz w:val="31"/>
          <w:szCs w:val="31"/>
          <w:vertAlign w:val="superscript"/>
        </w:rPr>
        <w:t>3</w:t>
      </w:r>
      <w:r>
        <w:rPr>
          <w:rFonts w:eastAsia="Times New Roman"/>
          <w:sz w:val="24"/>
          <w:szCs w:val="24"/>
        </w:rPr>
        <w:t>,</w:t>
      </w:r>
    </w:p>
    <w:p w:rsidR="00FD3EFE" w:rsidRDefault="00FD3EFE">
      <w:pPr>
        <w:spacing w:line="196" w:lineRule="exact"/>
        <w:rPr>
          <w:sz w:val="24"/>
          <w:szCs w:val="24"/>
        </w:rPr>
      </w:pPr>
    </w:p>
    <w:p w:rsidR="00FD3EFE" w:rsidRDefault="002C3613">
      <w:pPr>
        <w:rPr>
          <w:sz w:val="20"/>
          <w:szCs w:val="20"/>
        </w:rPr>
      </w:pPr>
      <w:r>
        <w:rPr>
          <w:rFonts w:eastAsia="Times New Roman"/>
          <w:sz w:val="24"/>
          <w:szCs w:val="24"/>
        </w:rPr>
        <w:t>Giovanni Marasco</w:t>
      </w:r>
      <w:r>
        <w:rPr>
          <w:rFonts w:eastAsia="Times New Roman"/>
          <w:sz w:val="31"/>
          <w:szCs w:val="31"/>
        </w:rPr>
        <w:t xml:space="preserve"> </w:t>
      </w:r>
      <w:r>
        <w:rPr>
          <w:rFonts w:eastAsia="Times New Roman"/>
          <w:sz w:val="31"/>
          <w:szCs w:val="31"/>
          <w:vertAlign w:val="superscript"/>
        </w:rPr>
        <w:t>2,5</w:t>
      </w:r>
      <w:r>
        <w:rPr>
          <w:rFonts w:eastAsia="Times New Roman"/>
          <w:sz w:val="24"/>
          <w:szCs w:val="24"/>
        </w:rPr>
        <w:t xml:space="preserve"> and Giovanni Barbara</w:t>
      </w:r>
      <w:r>
        <w:rPr>
          <w:rFonts w:eastAsia="Times New Roman"/>
          <w:sz w:val="31"/>
          <w:szCs w:val="31"/>
        </w:rPr>
        <w:t xml:space="preserve"> </w:t>
      </w:r>
      <w:r>
        <w:rPr>
          <w:rFonts w:eastAsia="Times New Roman"/>
          <w:sz w:val="31"/>
          <w:szCs w:val="31"/>
          <w:vertAlign w:val="superscript"/>
        </w:rPr>
        <w:t>2,5</w:t>
      </w:r>
    </w:p>
    <w:p w:rsidR="00FD3EFE" w:rsidRDefault="00FD3EFE">
      <w:pPr>
        <w:spacing w:line="203" w:lineRule="exact"/>
        <w:rPr>
          <w:sz w:val="24"/>
          <w:szCs w:val="24"/>
        </w:rPr>
      </w:pPr>
    </w:p>
    <w:p w:rsidR="00FD3EFE" w:rsidRDefault="002C3613">
      <w:pPr>
        <w:rPr>
          <w:sz w:val="20"/>
          <w:szCs w:val="20"/>
        </w:rPr>
      </w:pPr>
      <w:r>
        <w:rPr>
          <w:rFonts w:eastAsia="Times New Roman"/>
          <w:sz w:val="24"/>
          <w:szCs w:val="24"/>
        </w:rPr>
        <w:t>* CR and FR equally contributed.</w:t>
      </w:r>
    </w:p>
    <w:p w:rsidR="00FD3EFE" w:rsidRDefault="00FD3EFE">
      <w:pPr>
        <w:spacing w:line="138" w:lineRule="exact"/>
        <w:rPr>
          <w:sz w:val="24"/>
          <w:szCs w:val="24"/>
        </w:rPr>
      </w:pPr>
    </w:p>
    <w:p w:rsidR="00FD3EFE" w:rsidRDefault="002C3613">
      <w:pPr>
        <w:spacing w:line="278" w:lineRule="auto"/>
        <w:ind w:right="80"/>
        <w:jc w:val="both"/>
        <w:rPr>
          <w:sz w:val="20"/>
          <w:szCs w:val="20"/>
        </w:rPr>
      </w:pPr>
      <w:r>
        <w:rPr>
          <w:rFonts w:eastAsia="Times New Roman"/>
          <w:sz w:val="24"/>
          <w:szCs w:val="24"/>
        </w:rPr>
        <w:t>1 Department of Clinical and Experimental Sciences, University of Brescia, Spedali Ci</w:t>
      </w:r>
      <w:r>
        <w:rPr>
          <w:rFonts w:eastAsia="Times New Roman"/>
          <w:sz w:val="24"/>
          <w:szCs w:val="24"/>
        </w:rPr>
        <w:t>vili 1, 25121 Brescia, Italy. riccic@med.unibs.it (C.R.).</w:t>
      </w:r>
    </w:p>
    <w:p w:rsidR="00FD3EFE" w:rsidRDefault="00FD3EFE">
      <w:pPr>
        <w:spacing w:line="189" w:lineRule="exact"/>
        <w:rPr>
          <w:sz w:val="24"/>
          <w:szCs w:val="24"/>
        </w:rPr>
      </w:pPr>
    </w:p>
    <w:p w:rsidR="00FD3EFE" w:rsidRDefault="002C3613">
      <w:pPr>
        <w:spacing w:line="252" w:lineRule="auto"/>
        <w:ind w:right="80"/>
        <w:jc w:val="both"/>
        <w:rPr>
          <w:sz w:val="20"/>
          <w:szCs w:val="20"/>
        </w:rPr>
      </w:pPr>
      <w:r>
        <w:rPr>
          <w:rFonts w:eastAsia="Times New Roman"/>
          <w:sz w:val="24"/>
          <w:szCs w:val="24"/>
        </w:rPr>
        <w:t>2 Department of Medical and Surgical Sciences, University of Bologna, via Massarenti, 9, 40138 Bologna, Italy; paolo.gionchetti@unibo.it (P.G.); fernando.rizzello@unibo.it (F.R.); federica.damico8@</w:t>
      </w:r>
      <w:r>
        <w:rPr>
          <w:rFonts w:eastAsia="Times New Roman"/>
          <w:sz w:val="24"/>
          <w:szCs w:val="24"/>
        </w:rPr>
        <w:t>unibo.it (F.D.A.); giovanni.marasco4@unibo.it (G.M.); giovanni.barbara@un-ibo.it (G.B.).</w:t>
      </w:r>
    </w:p>
    <w:p w:rsidR="00FD3EFE" w:rsidRDefault="00FD3EFE">
      <w:pPr>
        <w:spacing w:line="220" w:lineRule="exact"/>
        <w:rPr>
          <w:sz w:val="24"/>
          <w:szCs w:val="24"/>
        </w:rPr>
      </w:pPr>
    </w:p>
    <w:p w:rsidR="00FD3EFE" w:rsidRDefault="002C3613">
      <w:pPr>
        <w:spacing w:line="259" w:lineRule="auto"/>
        <w:ind w:right="80"/>
        <w:jc w:val="both"/>
        <w:rPr>
          <w:sz w:val="20"/>
          <w:szCs w:val="20"/>
        </w:rPr>
      </w:pPr>
      <w:r>
        <w:rPr>
          <w:rFonts w:eastAsia="Times New Roman"/>
          <w:sz w:val="24"/>
          <w:szCs w:val="24"/>
        </w:rPr>
        <w:t>1 Department of Biological, Geological and Environmental Sciences, University of Bologna, Via Selmi 3, 40126 Bologna, Italy chiaravalerii@hotmail.it (M.C.V.); enzo.sp</w:t>
      </w:r>
      <w:r>
        <w:rPr>
          <w:rFonts w:eastAsia="Times New Roman"/>
          <w:sz w:val="24"/>
          <w:szCs w:val="24"/>
        </w:rPr>
        <w:t>isni@unibo.it (E.S.); renato.spigarelli@studio.unibo.it (R.S.); irene.bellocchio2@studio.unibo.it (I.B.).</w:t>
      </w:r>
    </w:p>
    <w:p w:rsidR="00FD3EFE" w:rsidRDefault="00FD3EFE">
      <w:pPr>
        <w:spacing w:line="200" w:lineRule="exact"/>
        <w:rPr>
          <w:sz w:val="24"/>
          <w:szCs w:val="24"/>
        </w:rPr>
      </w:pPr>
    </w:p>
    <w:p w:rsidR="00FD3EFE" w:rsidRDefault="00FD3EFE">
      <w:pPr>
        <w:spacing w:line="287" w:lineRule="exact"/>
        <w:rPr>
          <w:sz w:val="24"/>
          <w:szCs w:val="24"/>
        </w:rPr>
      </w:pPr>
    </w:p>
    <w:p w:rsidR="00FD3EFE" w:rsidRDefault="002C3613">
      <w:pPr>
        <w:spacing w:line="259" w:lineRule="auto"/>
        <w:ind w:right="80"/>
        <w:jc w:val="both"/>
        <w:rPr>
          <w:sz w:val="20"/>
          <w:szCs w:val="20"/>
        </w:rPr>
      </w:pPr>
      <w:r>
        <w:rPr>
          <w:rFonts w:eastAsia="Times New Roman"/>
          <w:sz w:val="24"/>
          <w:szCs w:val="24"/>
        </w:rPr>
        <w:t xml:space="preserve">4 Unit of Microbiome Science and Biotechnology, Department of Pharmacy and Biotechnology, University of Bologna, via Belmeloro, 6, 40126 Bologna, </w:t>
      </w:r>
      <w:r>
        <w:rPr>
          <w:rFonts w:eastAsia="Times New Roman"/>
          <w:sz w:val="24"/>
          <w:szCs w:val="24"/>
        </w:rPr>
        <w:t>Italy; silvia.turroni@unibo.it (S.T.); federica.damico8@unibo.it (F.D.A.)</w:t>
      </w:r>
    </w:p>
    <w:p w:rsidR="00FD3EFE" w:rsidRDefault="00FD3EFE">
      <w:pPr>
        <w:spacing w:line="211" w:lineRule="exact"/>
        <w:rPr>
          <w:sz w:val="24"/>
          <w:szCs w:val="24"/>
        </w:rPr>
      </w:pPr>
    </w:p>
    <w:p w:rsidR="00FD3EFE" w:rsidRDefault="002C3613">
      <w:pPr>
        <w:spacing w:line="278" w:lineRule="auto"/>
        <w:ind w:right="80"/>
        <w:jc w:val="both"/>
        <w:rPr>
          <w:sz w:val="20"/>
          <w:szCs w:val="20"/>
        </w:rPr>
      </w:pPr>
      <w:r>
        <w:rPr>
          <w:rFonts w:eastAsia="Times New Roman"/>
          <w:sz w:val="24"/>
          <w:szCs w:val="24"/>
        </w:rPr>
        <w:t>5 Division of Internal Medicine, IRCCS Azienda Ospedaliero-Universitaria di Bologna, via Massarenti 9, 40126 Bologna, Italy;</w:t>
      </w:r>
    </w:p>
    <w:p w:rsidR="00FD3EFE" w:rsidRDefault="00FD3EFE">
      <w:pPr>
        <w:spacing w:line="185" w:lineRule="exact"/>
        <w:rPr>
          <w:sz w:val="24"/>
          <w:szCs w:val="24"/>
        </w:rPr>
      </w:pPr>
    </w:p>
    <w:p w:rsidR="00FD3EFE" w:rsidRDefault="002C3613">
      <w:pPr>
        <w:rPr>
          <w:sz w:val="20"/>
          <w:szCs w:val="20"/>
        </w:rPr>
      </w:pPr>
      <w:r>
        <w:rPr>
          <w:rFonts w:eastAsia="Times New Roman"/>
          <w:b/>
          <w:bCs/>
          <w:sz w:val="24"/>
          <w:szCs w:val="24"/>
        </w:rPr>
        <w:t>Abstract</w:t>
      </w:r>
      <w:r>
        <w:rPr>
          <w:rFonts w:eastAsia="Times New Roman"/>
          <w:sz w:val="24"/>
          <w:szCs w:val="24"/>
        </w:rPr>
        <w:t>:</w:t>
      </w:r>
    </w:p>
    <w:p w:rsidR="00FD3EFE" w:rsidRDefault="00FD3EFE">
      <w:pPr>
        <w:spacing w:line="142" w:lineRule="exact"/>
        <w:rPr>
          <w:sz w:val="24"/>
          <w:szCs w:val="24"/>
        </w:rPr>
      </w:pPr>
    </w:p>
    <w:p w:rsidR="00FD3EFE" w:rsidRDefault="002C3613">
      <w:pPr>
        <w:spacing w:line="380" w:lineRule="auto"/>
        <w:jc w:val="both"/>
        <w:rPr>
          <w:sz w:val="20"/>
          <w:szCs w:val="20"/>
        </w:rPr>
      </w:pPr>
      <w:r>
        <w:rPr>
          <w:rFonts w:eastAsia="Times New Roman"/>
          <w:sz w:val="23"/>
          <w:szCs w:val="23"/>
        </w:rPr>
        <w:t xml:space="preserve">Geraniol is an acyclic monoterpene alcohol </w:t>
      </w:r>
      <w:r>
        <w:rPr>
          <w:rFonts w:eastAsia="Times New Roman"/>
          <w:sz w:val="23"/>
          <w:szCs w:val="23"/>
        </w:rPr>
        <w:t xml:space="preserve">with well-known anti-inflammatory and antimicrobial properties which demonstrated eubiotic activity in the gut microbiota in patients with irritable bowel syndrome (IBS). The primary objective of the study was to evaluate changes in the microbiota after 4 </w:t>
      </w:r>
      <w:r>
        <w:rPr>
          <w:rFonts w:eastAsia="Times New Roman"/>
          <w:sz w:val="23"/>
          <w:szCs w:val="23"/>
        </w:rPr>
        <w:t>weeks of administration a food supplement based on Palmrose Essential Oil (</w:t>
      </w:r>
      <w:r>
        <w:rPr>
          <w:rFonts w:eastAsia="Times New Roman"/>
          <w:i/>
          <w:iCs/>
          <w:sz w:val="23"/>
          <w:szCs w:val="23"/>
        </w:rPr>
        <w:t>Cymbopogon martini</w:t>
      </w:r>
      <w:r>
        <w:rPr>
          <w:rFonts w:eastAsia="Times New Roman"/>
          <w:sz w:val="23"/>
          <w:szCs w:val="23"/>
        </w:rPr>
        <w:t xml:space="preserve">) titrated in Geraniol (&gt;80%) adsorbed on ginger rhizome fiber in patients with a confirmed diagnosis of IBS. The secondary objective of the study was to evaluate </w:t>
      </w:r>
      <w:r>
        <w:rPr>
          <w:rFonts w:eastAsia="Times New Roman"/>
          <w:sz w:val="23"/>
          <w:szCs w:val="23"/>
        </w:rPr>
        <w:t>the impact of the food supplement on clinical symptoms (abdominal pain, bloating, intestinal habits) of IBS patients, registered through the validated IBS-Simptoms Severity Score (IBS-SSS) questionnaire. This study was multicenter, prospective, double-blin</w:t>
      </w:r>
      <w:r>
        <w:rPr>
          <w:rFonts w:eastAsia="Times New Roman"/>
          <w:sz w:val="23"/>
          <w:szCs w:val="23"/>
        </w:rPr>
        <w:t xml:space="preserve">d, placebo controlled. 56 patients diagnosed with Rome III criteria were enrolled in the study and were randomized 1:1 to receive a food supplement (50 mg/Kg die) consisting of Palmrose Essential Oil adsorbed on ginger root powder or placebo (corn starch) </w:t>
      </w:r>
      <w:r>
        <w:rPr>
          <w:rFonts w:eastAsia="Times New Roman"/>
          <w:sz w:val="23"/>
          <w:szCs w:val="23"/>
        </w:rPr>
        <w:t>for four weeks. The study consisted of two visits, on each visit a clinical examination was performed, fecal and blood</w:t>
      </w:r>
    </w:p>
    <w:p w:rsidR="00FD3EFE" w:rsidRDefault="00FD3EFE">
      <w:pPr>
        <w:sectPr w:rsidR="00FD3EFE">
          <w:pgSz w:w="11900" w:h="16840"/>
          <w:pgMar w:top="1440" w:right="964" w:bottom="612" w:left="1280" w:header="0" w:footer="0" w:gutter="0"/>
          <w:cols w:space="720" w:equalWidth="0">
            <w:col w:w="9660"/>
          </w:cols>
        </w:sectPr>
      </w:pPr>
    </w:p>
    <w:p w:rsidR="00FD3EFE" w:rsidRDefault="002C3613">
      <w:pPr>
        <w:spacing w:line="360" w:lineRule="auto"/>
        <w:ind w:right="20"/>
        <w:jc w:val="both"/>
        <w:rPr>
          <w:sz w:val="20"/>
          <w:szCs w:val="20"/>
        </w:rPr>
      </w:pPr>
      <w:bookmarkStart w:id="2" w:name="page2"/>
      <w:bookmarkEnd w:id="2"/>
      <w:r>
        <w:rPr>
          <w:rFonts w:eastAsia="Times New Roman"/>
          <w:sz w:val="24"/>
          <w:szCs w:val="24"/>
        </w:rPr>
        <w:lastRenderedPageBreak/>
        <w:t>samples were collected, and patients filled the IBS-SSS questionnaire. The intestinal microbiota was analyzed startin</w:t>
      </w:r>
      <w:r>
        <w:rPr>
          <w:rFonts w:eastAsia="Times New Roman"/>
          <w:sz w:val="24"/>
          <w:szCs w:val="24"/>
        </w:rPr>
        <w:t>g from fecal samples using the 16sRNA analysis (NGS).</w:t>
      </w:r>
    </w:p>
    <w:p w:rsidR="00FD3EFE" w:rsidRDefault="002C3613">
      <w:pPr>
        <w:spacing w:line="360" w:lineRule="auto"/>
        <w:jc w:val="both"/>
        <w:rPr>
          <w:sz w:val="20"/>
          <w:szCs w:val="20"/>
        </w:rPr>
      </w:pPr>
      <w:r>
        <w:rPr>
          <w:rFonts w:eastAsia="Times New Roman"/>
          <w:sz w:val="24"/>
          <w:szCs w:val="24"/>
        </w:rPr>
        <w:t xml:space="preserve">Results showed significant differences in microbiota composition after the food supplement administration, in particular Erysipelotrichaceae family, Clostridiaceae (p=0.1) and the genus Oscillospira of </w:t>
      </w:r>
      <w:r>
        <w:rPr>
          <w:rFonts w:eastAsia="Times New Roman"/>
          <w:sz w:val="24"/>
          <w:szCs w:val="24"/>
        </w:rPr>
        <w:t>Ruminococcaceae, (p=0.01) tended to decrease while other Ruminococcaceae, specifically Faecalibacterium, (p=0.09), tended to increase in the active group. The analysis of the main circulating proinflammatory cytokines and chemokines showed no differences b</w:t>
      </w:r>
      <w:r>
        <w:rPr>
          <w:rFonts w:eastAsia="Times New Roman"/>
          <w:sz w:val="24"/>
          <w:szCs w:val="24"/>
        </w:rPr>
        <w:t xml:space="preserve">etween the placebo and the food supplement, both at baseline and follow-up. Patients treated with the food supplement showed a significant reduction in IBS Symptoms Severity Score (IBS-SSS) compared to placebo (IBS-SSS score 195 vs 265, p=0.001). The rate </w:t>
      </w:r>
      <w:r>
        <w:rPr>
          <w:rFonts w:eastAsia="Times New Roman"/>
          <w:sz w:val="24"/>
          <w:szCs w:val="24"/>
        </w:rPr>
        <w:t>of responders according to IBS-SSS score (reduction</w:t>
      </w:r>
      <w:r>
        <w:rPr>
          <w:rFonts w:ascii="Cambria" w:eastAsia="Cambria" w:hAnsi="Cambria" w:cs="Cambria"/>
          <w:sz w:val="24"/>
          <w:szCs w:val="24"/>
        </w:rPr>
        <w:t>⩾</w:t>
      </w:r>
      <w:r>
        <w:rPr>
          <w:rFonts w:eastAsia="Times New Roman"/>
          <w:sz w:val="24"/>
          <w:szCs w:val="24"/>
        </w:rPr>
        <w:t>50 points) was significantly higher in the active group 52% vs placebo 16.7% group, mainly due to IBS mixed subtype (active 53.9% vs placebo 7.7%, p=0.011).</w:t>
      </w:r>
    </w:p>
    <w:p w:rsidR="00FD3EFE" w:rsidRDefault="00FD3EFE">
      <w:pPr>
        <w:spacing w:line="7" w:lineRule="exact"/>
        <w:rPr>
          <w:sz w:val="20"/>
          <w:szCs w:val="20"/>
        </w:rPr>
      </w:pPr>
    </w:p>
    <w:p w:rsidR="00FD3EFE" w:rsidRDefault="002C3613">
      <w:pPr>
        <w:spacing w:line="391" w:lineRule="auto"/>
        <w:ind w:right="20"/>
        <w:jc w:val="both"/>
        <w:rPr>
          <w:sz w:val="20"/>
          <w:szCs w:val="20"/>
        </w:rPr>
      </w:pPr>
      <w:r>
        <w:rPr>
          <w:rFonts w:eastAsia="Times New Roman"/>
          <w:sz w:val="24"/>
          <w:szCs w:val="24"/>
        </w:rPr>
        <w:t>Our study showed that oral administration Palm</w:t>
      </w:r>
      <w:r>
        <w:rPr>
          <w:rFonts w:eastAsia="Times New Roman"/>
          <w:sz w:val="24"/>
          <w:szCs w:val="24"/>
        </w:rPr>
        <w:t>rose EO titrated in Geraniol adsorbed on ginger root fiber is able to counteract intestinal dysbiosis and ameliorate clinical symptoms in IBS patients.</w:t>
      </w:r>
    </w:p>
    <w:p w:rsidR="00FD3EFE" w:rsidRDefault="00FD3EFE">
      <w:pPr>
        <w:spacing w:line="331" w:lineRule="exact"/>
        <w:rPr>
          <w:sz w:val="20"/>
          <w:szCs w:val="20"/>
        </w:rPr>
      </w:pPr>
    </w:p>
    <w:p w:rsidR="00FD3EFE" w:rsidRDefault="002C3613">
      <w:pPr>
        <w:rPr>
          <w:sz w:val="20"/>
          <w:szCs w:val="20"/>
        </w:rPr>
      </w:pPr>
      <w:r>
        <w:rPr>
          <w:rFonts w:eastAsia="Times New Roman"/>
          <w:b/>
          <w:bCs/>
          <w:sz w:val="24"/>
          <w:szCs w:val="24"/>
        </w:rPr>
        <w:t>Biography:</w:t>
      </w:r>
    </w:p>
    <w:p w:rsidR="00FD3EFE" w:rsidRDefault="00FD3EFE">
      <w:pPr>
        <w:spacing w:line="142" w:lineRule="exact"/>
        <w:rPr>
          <w:sz w:val="20"/>
          <w:szCs w:val="20"/>
        </w:rPr>
      </w:pPr>
    </w:p>
    <w:p w:rsidR="00FD3EFE" w:rsidRDefault="002C3613">
      <w:pPr>
        <w:rPr>
          <w:sz w:val="20"/>
          <w:szCs w:val="20"/>
        </w:rPr>
      </w:pPr>
      <w:r>
        <w:rPr>
          <w:rFonts w:eastAsia="Times New Roman"/>
          <w:sz w:val="24"/>
          <w:szCs w:val="24"/>
        </w:rPr>
        <w:t>Maria Chiara Valerii,</w:t>
      </w:r>
    </w:p>
    <w:p w:rsidR="00FD3EFE" w:rsidRDefault="00FD3EFE">
      <w:pPr>
        <w:spacing w:line="138" w:lineRule="exact"/>
        <w:rPr>
          <w:sz w:val="20"/>
          <w:szCs w:val="20"/>
        </w:rPr>
      </w:pPr>
    </w:p>
    <w:p w:rsidR="00FD3EFE" w:rsidRDefault="002C3613">
      <w:pPr>
        <w:rPr>
          <w:sz w:val="20"/>
          <w:szCs w:val="20"/>
        </w:rPr>
      </w:pPr>
      <w:r>
        <w:rPr>
          <w:rFonts w:eastAsia="Times New Roman"/>
          <w:sz w:val="24"/>
          <w:szCs w:val="24"/>
        </w:rPr>
        <w:t>Graduated in Biological Sciences at University of Bologna, Italy,</w:t>
      </w:r>
    </w:p>
    <w:p w:rsidR="00FD3EFE" w:rsidRDefault="00FD3EFE">
      <w:pPr>
        <w:spacing w:line="138" w:lineRule="exact"/>
        <w:rPr>
          <w:sz w:val="20"/>
          <w:szCs w:val="20"/>
        </w:rPr>
      </w:pPr>
    </w:p>
    <w:p w:rsidR="00FD3EFE" w:rsidRDefault="002C3613">
      <w:pPr>
        <w:spacing w:line="360" w:lineRule="auto"/>
        <w:ind w:right="20"/>
        <w:jc w:val="both"/>
        <w:rPr>
          <w:sz w:val="20"/>
          <w:szCs w:val="20"/>
        </w:rPr>
      </w:pPr>
      <w:r>
        <w:rPr>
          <w:rFonts w:eastAsia="Times New Roman"/>
          <w:sz w:val="24"/>
          <w:szCs w:val="24"/>
        </w:rPr>
        <w:t>PhD in Medical, Surgical, Gastroenterological and Transplantation Sciences at University of Bologna, Italy</w:t>
      </w:r>
    </w:p>
    <w:p w:rsidR="00FD3EFE" w:rsidRDefault="002C3613">
      <w:pPr>
        <w:spacing w:line="398" w:lineRule="auto"/>
        <w:ind w:right="20"/>
        <w:jc w:val="both"/>
        <w:rPr>
          <w:sz w:val="20"/>
          <w:szCs w:val="20"/>
        </w:rPr>
      </w:pPr>
      <w:r>
        <w:rPr>
          <w:rFonts w:eastAsia="Times New Roman"/>
          <w:sz w:val="24"/>
          <w:szCs w:val="24"/>
        </w:rPr>
        <w:t>Second Level Master in in “Research and Preclinical and Clinical Drug Development at University “Bicocca”, Milan, Italy.</w:t>
      </w:r>
    </w:p>
    <w:p w:rsidR="00FD3EFE" w:rsidRDefault="00FD3EFE">
      <w:pPr>
        <w:spacing w:line="323" w:lineRule="exact"/>
        <w:rPr>
          <w:sz w:val="20"/>
          <w:szCs w:val="20"/>
        </w:rPr>
      </w:pPr>
    </w:p>
    <w:p w:rsidR="00FD3EFE" w:rsidRDefault="002C3613">
      <w:pPr>
        <w:rPr>
          <w:sz w:val="20"/>
          <w:szCs w:val="20"/>
        </w:rPr>
      </w:pPr>
      <w:r>
        <w:rPr>
          <w:rFonts w:eastAsia="Times New Roman"/>
          <w:b/>
          <w:bCs/>
          <w:sz w:val="24"/>
          <w:szCs w:val="24"/>
        </w:rPr>
        <w:t>References:</w:t>
      </w:r>
    </w:p>
    <w:p w:rsidR="00FD3EFE" w:rsidRDefault="00FD3EFE">
      <w:pPr>
        <w:spacing w:line="143" w:lineRule="exact"/>
        <w:rPr>
          <w:sz w:val="20"/>
          <w:szCs w:val="20"/>
        </w:rPr>
      </w:pPr>
    </w:p>
    <w:p w:rsidR="00FD3EFE" w:rsidRDefault="002C3613">
      <w:pPr>
        <w:spacing w:line="288" w:lineRule="auto"/>
        <w:jc w:val="both"/>
        <w:rPr>
          <w:sz w:val="20"/>
          <w:szCs w:val="20"/>
        </w:rPr>
      </w:pPr>
      <w:r>
        <w:rPr>
          <w:rFonts w:eastAsia="Times New Roman"/>
          <w:color w:val="212121"/>
        </w:rPr>
        <w:t>Rizzello F, Ri</w:t>
      </w:r>
      <w:r>
        <w:rPr>
          <w:rFonts w:eastAsia="Times New Roman"/>
          <w:color w:val="212121"/>
        </w:rPr>
        <w:t>cci C, Scandella M, Cavazza E, Giovanardi E, Valerii MC, Campieri M, Comparone A, De Fazio L, Candela M, Turroni S, Spisni E. Dietary geraniol ameliorates intestinal dysbiosis and relieves symptoms in irritable bowel syndrome patients: a pilot study. BMC C</w:t>
      </w:r>
      <w:r>
        <w:rPr>
          <w:rFonts w:eastAsia="Times New Roman"/>
          <w:color w:val="212121"/>
        </w:rPr>
        <w:t>omplement Altern Med. 2018 Dec 19;18(1):338. doi: 10.1186/s12906-018-2403-6. PMID: 30567535; PMCID: PMC6299992.</w:t>
      </w:r>
    </w:p>
    <w:p w:rsidR="00FD3EFE" w:rsidRDefault="00FD3EFE">
      <w:pPr>
        <w:spacing w:line="240" w:lineRule="exact"/>
        <w:rPr>
          <w:sz w:val="20"/>
          <w:szCs w:val="20"/>
        </w:rPr>
      </w:pPr>
    </w:p>
    <w:p w:rsidR="00FD3EFE" w:rsidRDefault="002C3613">
      <w:pPr>
        <w:spacing w:line="315" w:lineRule="auto"/>
        <w:ind w:right="20"/>
        <w:jc w:val="both"/>
        <w:rPr>
          <w:sz w:val="20"/>
          <w:szCs w:val="20"/>
        </w:rPr>
      </w:pPr>
      <w:r>
        <w:rPr>
          <w:rFonts w:eastAsia="Times New Roman"/>
          <w:color w:val="212121"/>
        </w:rPr>
        <w:t>Ricci C., Rizzello F., Barbara G. et al., Dietary geraniol ameliorates intestinal dysbiosis and relieves symptoms in irritable bowel syndrome p</w:t>
      </w:r>
      <w:r>
        <w:rPr>
          <w:rFonts w:eastAsia="Times New Roman"/>
          <w:color w:val="212121"/>
        </w:rPr>
        <w:t>atients: a double-blind clinical trial. (ms submitted)</w:t>
      </w:r>
    </w:p>
    <w:sectPr w:rsidR="00FD3EFE">
      <w:pgSz w:w="11900" w:h="16840"/>
      <w:pgMar w:top="1393" w:right="964" w:bottom="1440" w:left="1280" w:header="0" w:footer="0" w:gutter="0"/>
      <w:cols w:space="720" w:equalWidth="0">
        <w:col w:w="9660"/>
      </w:cols>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FD3EFE"/>
    <w:rsid w:val="002C3613"/>
    <w:rsid w:val="007E5201"/>
    <w:rsid w:val="00FD3EFE"/>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heme="minorEastAsia" w:hAnsi="Times New Roman" w:cs="Times New Roman"/>
        <w:sz w:val="22"/>
        <w:szCs w:val="22"/>
        <w:lang w:val="en-US" w:eastAsia="en-US"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2</Pages>
  <Words>730</Words>
  <Characters>4163</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4884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ENT Surgery Supporting 2018</cp:lastModifiedBy>
  <cp:revision>2</cp:revision>
  <dcterms:created xsi:type="dcterms:W3CDTF">2022-05-27T12:17:00Z</dcterms:created>
  <dcterms:modified xsi:type="dcterms:W3CDTF">2022-05-27T12:17:00Z</dcterms:modified>
</cp:coreProperties>
</file>