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F1A" w:rsidRDefault="005107D7">
      <w:pPr>
        <w:spacing w:line="200" w:lineRule="exact"/>
        <w:rPr>
          <w:sz w:val="24"/>
          <w:szCs w:val="24"/>
        </w:rPr>
      </w:pPr>
      <w:bookmarkStart w:id="0" w:name="page1"/>
      <w:bookmarkStart w:id="1" w:name="_GoBack"/>
      <w:bookmarkEnd w:id="0"/>
      <w:bookmarkEnd w:id="1"/>
      <w:r>
        <w:rPr>
          <w:noProof/>
          <w:sz w:val="24"/>
          <w:szCs w:val="24"/>
        </w:rPr>
        <w:drawing>
          <wp:anchor distT="0" distB="0" distL="114300" distR="114300" simplePos="0" relativeHeight="251657728" behindDoc="1" locked="0" layoutInCell="0" allowOverlap="1">
            <wp:simplePos x="0" y="0"/>
            <wp:positionH relativeFrom="page">
              <wp:posOffset>4873625</wp:posOffset>
            </wp:positionH>
            <wp:positionV relativeFrom="page">
              <wp:posOffset>786130</wp:posOffset>
            </wp:positionV>
            <wp:extent cx="1238885" cy="1530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FFFFFF"/>
                        </a:clrFrom>
                        <a:clrTo>
                          <a:srgbClr val="FFFFFF">
                            <a:alpha val="0"/>
                          </a:srgbClr>
                        </a:clrTo>
                      </a:clrChange>
                      <a:extLst/>
                    </a:blip>
                    <a:srcRect/>
                    <a:stretch>
                      <a:fillRect/>
                    </a:stretch>
                  </pic:blipFill>
                  <pic:spPr bwMode="auto">
                    <a:xfrm>
                      <a:off x="0" y="0"/>
                      <a:ext cx="1238885" cy="1530350"/>
                    </a:xfrm>
                    <a:prstGeom prst="rect">
                      <a:avLst/>
                    </a:prstGeom>
                    <a:noFill/>
                  </pic:spPr>
                </pic:pic>
              </a:graphicData>
            </a:graphic>
          </wp:anchor>
        </w:drawing>
      </w:r>
    </w:p>
    <w:p w:rsidR="00BB5F1A" w:rsidRDefault="00BB5F1A">
      <w:pPr>
        <w:spacing w:line="200" w:lineRule="exact"/>
        <w:rPr>
          <w:sz w:val="24"/>
          <w:szCs w:val="24"/>
        </w:rPr>
      </w:pPr>
    </w:p>
    <w:p w:rsidR="00BB5F1A" w:rsidRDefault="00BB5F1A">
      <w:pPr>
        <w:spacing w:line="200" w:lineRule="exact"/>
        <w:rPr>
          <w:sz w:val="24"/>
          <w:szCs w:val="24"/>
        </w:rPr>
      </w:pPr>
    </w:p>
    <w:p w:rsidR="00BB5F1A" w:rsidRDefault="00BB5F1A">
      <w:pPr>
        <w:spacing w:line="200" w:lineRule="exact"/>
        <w:rPr>
          <w:sz w:val="24"/>
          <w:szCs w:val="24"/>
        </w:rPr>
      </w:pPr>
    </w:p>
    <w:p w:rsidR="00BB5F1A" w:rsidRDefault="00BB5F1A">
      <w:pPr>
        <w:spacing w:line="200" w:lineRule="exact"/>
        <w:rPr>
          <w:sz w:val="24"/>
          <w:szCs w:val="24"/>
        </w:rPr>
      </w:pPr>
    </w:p>
    <w:p w:rsidR="00BB5F1A" w:rsidRDefault="00BB5F1A">
      <w:pPr>
        <w:spacing w:line="200" w:lineRule="exact"/>
        <w:rPr>
          <w:sz w:val="24"/>
          <w:szCs w:val="24"/>
        </w:rPr>
      </w:pPr>
    </w:p>
    <w:p w:rsidR="00BB5F1A" w:rsidRDefault="00BB5F1A">
      <w:pPr>
        <w:spacing w:line="200" w:lineRule="exact"/>
        <w:rPr>
          <w:sz w:val="24"/>
          <w:szCs w:val="24"/>
        </w:rPr>
      </w:pPr>
    </w:p>
    <w:p w:rsidR="00BB5F1A" w:rsidRDefault="00BB5F1A">
      <w:pPr>
        <w:spacing w:line="200" w:lineRule="exact"/>
        <w:rPr>
          <w:sz w:val="24"/>
          <w:szCs w:val="24"/>
        </w:rPr>
      </w:pPr>
    </w:p>
    <w:p w:rsidR="00BB5F1A" w:rsidRDefault="00BB5F1A">
      <w:pPr>
        <w:spacing w:line="200" w:lineRule="exact"/>
        <w:rPr>
          <w:sz w:val="24"/>
          <w:szCs w:val="24"/>
        </w:rPr>
      </w:pPr>
    </w:p>
    <w:p w:rsidR="00BB5F1A" w:rsidRDefault="00BB5F1A">
      <w:pPr>
        <w:spacing w:line="200" w:lineRule="exact"/>
        <w:rPr>
          <w:sz w:val="24"/>
          <w:szCs w:val="24"/>
        </w:rPr>
      </w:pPr>
    </w:p>
    <w:p w:rsidR="00BB5F1A" w:rsidRDefault="00BB5F1A">
      <w:pPr>
        <w:spacing w:line="222" w:lineRule="exact"/>
        <w:rPr>
          <w:sz w:val="24"/>
          <w:szCs w:val="24"/>
        </w:rPr>
      </w:pPr>
    </w:p>
    <w:p w:rsidR="00BB5F1A" w:rsidRDefault="005107D7">
      <w:pPr>
        <w:ind w:right="20"/>
        <w:jc w:val="center"/>
        <w:rPr>
          <w:sz w:val="20"/>
          <w:szCs w:val="20"/>
        </w:rPr>
      </w:pPr>
      <w:r>
        <w:rPr>
          <w:rFonts w:eastAsia="Times New Roman"/>
          <w:b/>
          <w:bCs/>
          <w:sz w:val="28"/>
          <w:szCs w:val="28"/>
        </w:rPr>
        <w:t>Title: Hypertension and its related factors among patients with type 2 diabetes mellitus – a multi-hospital study in Bangladesh</w:t>
      </w:r>
    </w:p>
    <w:p w:rsidR="00BB5F1A" w:rsidRDefault="00BB5F1A">
      <w:pPr>
        <w:spacing w:line="200" w:lineRule="exact"/>
        <w:rPr>
          <w:sz w:val="24"/>
          <w:szCs w:val="24"/>
        </w:rPr>
      </w:pPr>
    </w:p>
    <w:p w:rsidR="00BB5F1A" w:rsidRDefault="00BB5F1A">
      <w:pPr>
        <w:spacing w:line="200" w:lineRule="exact"/>
        <w:rPr>
          <w:sz w:val="24"/>
          <w:szCs w:val="24"/>
        </w:rPr>
      </w:pPr>
    </w:p>
    <w:p w:rsidR="00BB5F1A" w:rsidRDefault="00BB5F1A">
      <w:pPr>
        <w:spacing w:line="229" w:lineRule="exact"/>
        <w:rPr>
          <w:sz w:val="24"/>
          <w:szCs w:val="24"/>
        </w:rPr>
      </w:pPr>
    </w:p>
    <w:p w:rsidR="00BB5F1A" w:rsidRDefault="005107D7">
      <w:pPr>
        <w:rPr>
          <w:sz w:val="20"/>
          <w:szCs w:val="20"/>
        </w:rPr>
      </w:pPr>
      <w:r>
        <w:rPr>
          <w:rFonts w:eastAsia="Times New Roman"/>
          <w:i/>
          <w:iCs/>
          <w:sz w:val="24"/>
          <w:szCs w:val="24"/>
        </w:rPr>
        <w:t>Name: Hiba Alsaadon</w:t>
      </w:r>
    </w:p>
    <w:p w:rsidR="00BB5F1A" w:rsidRDefault="00BB5F1A">
      <w:pPr>
        <w:spacing w:line="12" w:lineRule="exact"/>
        <w:rPr>
          <w:sz w:val="24"/>
          <w:szCs w:val="24"/>
        </w:rPr>
      </w:pPr>
    </w:p>
    <w:p w:rsidR="00BB5F1A" w:rsidRDefault="005107D7">
      <w:pPr>
        <w:spacing w:line="236" w:lineRule="auto"/>
        <w:ind w:right="320"/>
        <w:rPr>
          <w:sz w:val="20"/>
          <w:szCs w:val="20"/>
        </w:rPr>
      </w:pPr>
      <w:r>
        <w:rPr>
          <w:rFonts w:eastAsia="Times New Roman"/>
          <w:i/>
          <w:iCs/>
        </w:rPr>
        <w:t xml:space="preserve">Department of Epidemiology and Preventive Medicine, School of Public Health and Preventive </w:t>
      </w:r>
      <w:r>
        <w:rPr>
          <w:rFonts w:eastAsia="Times New Roman"/>
          <w:i/>
          <w:iCs/>
        </w:rPr>
        <w:t>Medicine, Faculty of Medicine, Nursing and Health Sciences, Monash University, 553 St. Kilda Rd., Level 4, Melbourne, VIC 3004, Australia</w:t>
      </w:r>
    </w:p>
    <w:p w:rsidR="00BB5F1A" w:rsidRDefault="00BB5F1A">
      <w:pPr>
        <w:spacing w:line="200" w:lineRule="exact"/>
        <w:rPr>
          <w:sz w:val="24"/>
          <w:szCs w:val="24"/>
        </w:rPr>
      </w:pPr>
    </w:p>
    <w:p w:rsidR="00BB5F1A" w:rsidRDefault="00BB5F1A">
      <w:pPr>
        <w:spacing w:line="226" w:lineRule="exact"/>
        <w:rPr>
          <w:sz w:val="24"/>
          <w:szCs w:val="24"/>
        </w:rPr>
      </w:pPr>
    </w:p>
    <w:p w:rsidR="00BB5F1A" w:rsidRDefault="005107D7">
      <w:pPr>
        <w:spacing w:line="239" w:lineRule="auto"/>
        <w:jc w:val="both"/>
        <w:rPr>
          <w:sz w:val="20"/>
          <w:szCs w:val="20"/>
        </w:rPr>
      </w:pPr>
      <w:r>
        <w:rPr>
          <w:rFonts w:eastAsia="Times New Roman"/>
          <w:sz w:val="24"/>
          <w:szCs w:val="24"/>
        </w:rPr>
        <w:t>Hypertension and type 2 diabetes are associated with each other, and their coexistence is linked to diabetes-related</w:t>
      </w:r>
      <w:r>
        <w:rPr>
          <w:rFonts w:eastAsia="Times New Roman"/>
          <w:sz w:val="24"/>
          <w:szCs w:val="24"/>
        </w:rPr>
        <w:t xml:space="preserve"> complications such as stroke, coronary artery disease, kidney disease, retinopathy and diabetic foot. This study aimed to determine the prevalence, awareness and control of hypertension and factors associated with hypertension among people with type 2 dia</w:t>
      </w:r>
      <w:r>
        <w:rPr>
          <w:rFonts w:eastAsia="Times New Roman"/>
          <w:sz w:val="24"/>
          <w:szCs w:val="24"/>
        </w:rPr>
        <w:t>betes mellitus (T2DM) in Bangladesh. A cross-sectional and retrospective study was conducted in 2017, and data from 1252 adults with T2DM were collected from six hospitals that specialise in diabetes care. These hospitals provide primary, secondary and ter</w:t>
      </w:r>
      <w:r>
        <w:rPr>
          <w:rFonts w:eastAsia="Times New Roman"/>
          <w:sz w:val="24"/>
          <w:szCs w:val="24"/>
        </w:rPr>
        <w:t>tiary healthcare and cover the rural and urban populations of Bangladesh. Cross-sectional data were collected from patients via face-to-face interviews, and retrospective data were collected from patients’ past medical records (medical passport), locally k</w:t>
      </w:r>
      <w:r>
        <w:rPr>
          <w:rFonts w:eastAsia="Times New Roman"/>
          <w:sz w:val="24"/>
          <w:szCs w:val="24"/>
        </w:rPr>
        <w:t>nown as the patients’ guidebook or record book. The associations between hypertension and its related factors were examined using the bootstrapping method with multiple logistic regression to adjust for potential confounders. The mean age of participants w</w:t>
      </w:r>
      <w:r>
        <w:rPr>
          <w:rFonts w:eastAsia="Times New Roman"/>
          <w:sz w:val="24"/>
          <w:szCs w:val="24"/>
        </w:rPr>
        <w:t>as 55.14 (± 12.51) years. Hypertension was found to be present among 67.2% of participants, and 95.8% were aware that they had it. Of these, 79.5% attained the blood pressure control. The mean duration of diabetes was 10.86 (± 7.73) years. The variables th</w:t>
      </w:r>
      <w:r>
        <w:rPr>
          <w:rFonts w:eastAsia="Times New Roman"/>
          <w:sz w:val="24"/>
          <w:szCs w:val="24"/>
        </w:rPr>
        <w:t>at were found to be related to hypertension include an age of above 60 years, physical inactivity, being overweight or obese, a longer duration of diabetes and chronic kidney disease. The prevalence of hypertension as well as its awareness and control were</w:t>
      </w:r>
      <w:r>
        <w:rPr>
          <w:rFonts w:eastAsia="Times New Roman"/>
          <w:sz w:val="24"/>
          <w:szCs w:val="24"/>
        </w:rPr>
        <w:t xml:space="preserve"> very high among people with known type 2 diabetes. As there is a strong relationship between hypertension and diabetes, patients with diabetes should have their blood pressure regularly monitored to prevent major diabetes-related complications.</w:t>
      </w:r>
    </w:p>
    <w:p w:rsidR="00BB5F1A" w:rsidRDefault="00BB5F1A">
      <w:pPr>
        <w:spacing w:line="288" w:lineRule="exact"/>
        <w:rPr>
          <w:sz w:val="24"/>
          <w:szCs w:val="24"/>
        </w:rPr>
      </w:pPr>
    </w:p>
    <w:p w:rsidR="00BB5F1A" w:rsidRDefault="005107D7">
      <w:pPr>
        <w:rPr>
          <w:sz w:val="20"/>
          <w:szCs w:val="20"/>
        </w:rPr>
      </w:pPr>
      <w:r>
        <w:rPr>
          <w:rFonts w:eastAsia="Times New Roman"/>
          <w:b/>
          <w:bCs/>
          <w:sz w:val="24"/>
          <w:szCs w:val="24"/>
        </w:rPr>
        <w:t>Biography</w:t>
      </w:r>
    </w:p>
    <w:p w:rsidR="00BB5F1A" w:rsidRDefault="00BB5F1A">
      <w:pPr>
        <w:spacing w:line="288" w:lineRule="exact"/>
        <w:rPr>
          <w:sz w:val="24"/>
          <w:szCs w:val="24"/>
        </w:rPr>
      </w:pPr>
    </w:p>
    <w:p w:rsidR="00BB5F1A" w:rsidRDefault="005107D7">
      <w:pPr>
        <w:spacing w:line="238" w:lineRule="auto"/>
        <w:jc w:val="both"/>
        <w:rPr>
          <w:sz w:val="20"/>
          <w:szCs w:val="20"/>
        </w:rPr>
      </w:pPr>
      <w:r>
        <w:rPr>
          <w:rFonts w:eastAsia="Times New Roman"/>
          <w:color w:val="00000A"/>
          <w:sz w:val="24"/>
          <w:szCs w:val="24"/>
        </w:rPr>
        <w:t>Hiba has completed her Masters degree in Biotechnology at the age of 27 years from RMIT University School of Applied Sceince in Melbourne. Also, she has completed her Honours degree in Biomedicine at the age of 29 years from Western CHRE, Victoria Univer</w:t>
      </w:r>
      <w:r>
        <w:rPr>
          <w:rFonts w:eastAsia="Times New Roman"/>
          <w:color w:val="00000A"/>
          <w:sz w:val="24"/>
          <w:szCs w:val="24"/>
        </w:rPr>
        <w:t>sity, Department of Biomedical Science in Melbourne. During her Masters studies, she worked on a research project to investigate the</w:t>
      </w:r>
      <w:r>
        <w:rPr>
          <w:rFonts w:eastAsia="Times New Roman"/>
          <w:color w:val="000000"/>
          <w:sz w:val="24"/>
          <w:szCs w:val="24"/>
        </w:rPr>
        <w:t xml:space="preserve"> antimicrobial effect of RRM-MV designed peptides on bacterial biofilm. However,</w:t>
      </w:r>
      <w:r>
        <w:rPr>
          <w:rFonts w:eastAsia="Times New Roman"/>
          <w:color w:val="00000A"/>
          <w:sz w:val="24"/>
          <w:szCs w:val="24"/>
        </w:rPr>
        <w:t xml:space="preserve"> </w:t>
      </w:r>
      <w:r>
        <w:rPr>
          <w:rFonts w:eastAsia="Times New Roman"/>
          <w:color w:val="000000"/>
          <w:sz w:val="24"/>
          <w:szCs w:val="24"/>
        </w:rPr>
        <w:t>during her Honours studies, she worked on d</w:t>
      </w:r>
      <w:r>
        <w:rPr>
          <w:rFonts w:eastAsia="Times New Roman"/>
          <w:color w:val="000000"/>
          <w:sz w:val="24"/>
          <w:szCs w:val="24"/>
        </w:rPr>
        <w:t>ifferent projects</w:t>
      </w:r>
      <w:r>
        <w:rPr>
          <w:rFonts w:eastAsia="Times New Roman"/>
          <w:color w:val="00000A"/>
          <w:sz w:val="24"/>
          <w:szCs w:val="24"/>
        </w:rPr>
        <w:t xml:space="preserve"> to investigate a novel treatment to</w:t>
      </w:r>
      <w:r>
        <w:rPr>
          <w:rFonts w:eastAsia="Times New Roman"/>
          <w:color w:val="000000"/>
          <w:sz w:val="24"/>
          <w:szCs w:val="24"/>
        </w:rPr>
        <w:t xml:space="preserve"> </w:t>
      </w:r>
      <w:r>
        <w:rPr>
          <w:rFonts w:eastAsia="Times New Roman"/>
          <w:color w:val="00000A"/>
          <w:sz w:val="24"/>
          <w:szCs w:val="24"/>
        </w:rPr>
        <w:t xml:space="preserve">reduce the risk of cardiovascular disease, atheroseclerosis in special. The first project was to demonstrate whether or not the activation of the Mas receptor causes a change in eNOS phosphorylation at </w:t>
      </w:r>
      <w:r>
        <w:rPr>
          <w:rFonts w:eastAsia="Times New Roman"/>
          <w:color w:val="00000A"/>
          <w:sz w:val="24"/>
          <w:szCs w:val="24"/>
        </w:rPr>
        <w:t>the Serine635 site in rabbit model.</w:t>
      </w:r>
    </w:p>
    <w:p w:rsidR="00BB5F1A" w:rsidRDefault="00BB5F1A">
      <w:pPr>
        <w:sectPr w:rsidR="00BB5F1A">
          <w:pgSz w:w="11900" w:h="16838"/>
          <w:pgMar w:top="1440" w:right="1126" w:bottom="1067" w:left="1140" w:header="0" w:footer="0" w:gutter="0"/>
          <w:cols w:space="720" w:equalWidth="0">
            <w:col w:w="9640"/>
          </w:cols>
        </w:sectPr>
      </w:pPr>
    </w:p>
    <w:p w:rsidR="00BB5F1A" w:rsidRDefault="00BB5F1A">
      <w:pPr>
        <w:spacing w:line="106" w:lineRule="exact"/>
        <w:rPr>
          <w:sz w:val="20"/>
          <w:szCs w:val="20"/>
        </w:rPr>
      </w:pPr>
      <w:bookmarkStart w:id="2" w:name="page2"/>
      <w:bookmarkEnd w:id="2"/>
    </w:p>
    <w:p w:rsidR="00BB5F1A" w:rsidRDefault="005107D7">
      <w:pPr>
        <w:spacing w:line="227" w:lineRule="auto"/>
        <w:ind w:left="7"/>
        <w:jc w:val="both"/>
        <w:rPr>
          <w:sz w:val="20"/>
          <w:szCs w:val="20"/>
        </w:rPr>
      </w:pPr>
      <w:r>
        <w:rPr>
          <w:rFonts w:eastAsia="Times New Roman"/>
          <w:color w:val="00000A"/>
          <w:sz w:val="24"/>
          <w:szCs w:val="24"/>
        </w:rPr>
        <w:t>The second project was to investigate whether the MasR could be involved in the progression of the next step in atherosclerosis, neo-intimal formation. In addition, she assisted others Honour student</w:t>
      </w:r>
      <w:r>
        <w:rPr>
          <w:rFonts w:eastAsia="Times New Roman"/>
          <w:color w:val="00000A"/>
          <w:sz w:val="24"/>
          <w:szCs w:val="24"/>
        </w:rPr>
        <w:t>s and staff members to determine the vasoactivity role of angiotensin A and alamandine in rabbit model of atherosclerosis. Also, she helped supervise 3</w:t>
      </w:r>
      <w:r>
        <w:rPr>
          <w:rFonts w:eastAsia="Times New Roman"/>
          <w:color w:val="00000A"/>
          <w:sz w:val="32"/>
          <w:szCs w:val="32"/>
          <w:vertAlign w:val="superscript"/>
        </w:rPr>
        <w:t>rd</w:t>
      </w:r>
      <w:r>
        <w:rPr>
          <w:rFonts w:eastAsia="Times New Roman"/>
          <w:color w:val="00000A"/>
          <w:sz w:val="24"/>
          <w:szCs w:val="24"/>
        </w:rPr>
        <w:t xml:space="preserve"> year students enrolled in Project. She also appointed as an academic research asssitant at the Monash University School of Public Health and Prevention Medicine in Melbourne. She was involved in literature review and writing paper on type 2 diabetes, and </w:t>
      </w:r>
      <w:r>
        <w:rPr>
          <w:rFonts w:eastAsia="Times New Roman"/>
          <w:color w:val="00000A"/>
          <w:sz w:val="24"/>
          <w:szCs w:val="24"/>
        </w:rPr>
        <w:t>assisted others in writing paper.</w:t>
      </w:r>
    </w:p>
    <w:p w:rsidR="00BB5F1A" w:rsidRDefault="00BB5F1A">
      <w:pPr>
        <w:spacing w:line="200" w:lineRule="exact"/>
        <w:rPr>
          <w:sz w:val="20"/>
          <w:szCs w:val="20"/>
        </w:rPr>
      </w:pPr>
    </w:p>
    <w:p w:rsidR="00BB5F1A" w:rsidRDefault="00BB5F1A">
      <w:pPr>
        <w:spacing w:line="362" w:lineRule="exact"/>
        <w:rPr>
          <w:sz w:val="20"/>
          <w:szCs w:val="20"/>
        </w:rPr>
      </w:pPr>
    </w:p>
    <w:p w:rsidR="00BB5F1A" w:rsidRDefault="005107D7">
      <w:pPr>
        <w:ind w:left="7"/>
        <w:rPr>
          <w:sz w:val="20"/>
          <w:szCs w:val="20"/>
        </w:rPr>
      </w:pPr>
      <w:r>
        <w:rPr>
          <w:rFonts w:eastAsia="Times New Roman"/>
          <w:b/>
          <w:bCs/>
          <w:sz w:val="24"/>
          <w:szCs w:val="24"/>
        </w:rPr>
        <w:t>Publications</w:t>
      </w:r>
    </w:p>
    <w:p w:rsidR="00BB5F1A" w:rsidRDefault="00BB5F1A">
      <w:pPr>
        <w:spacing w:line="293" w:lineRule="exact"/>
        <w:rPr>
          <w:sz w:val="20"/>
          <w:szCs w:val="20"/>
        </w:rPr>
      </w:pPr>
    </w:p>
    <w:p w:rsidR="00BB5F1A" w:rsidRDefault="005107D7">
      <w:pPr>
        <w:numPr>
          <w:ilvl w:val="0"/>
          <w:numId w:val="1"/>
        </w:numPr>
        <w:tabs>
          <w:tab w:val="left" w:pos="367"/>
        </w:tabs>
        <w:spacing w:line="273" w:lineRule="exact"/>
        <w:ind w:left="367" w:hanging="367"/>
        <w:jc w:val="both"/>
        <w:rPr>
          <w:rFonts w:eastAsia="Times New Roman"/>
          <w:b/>
          <w:bCs/>
          <w:sz w:val="24"/>
          <w:szCs w:val="24"/>
        </w:rPr>
      </w:pPr>
      <w:r>
        <w:rPr>
          <w:rFonts w:eastAsia="Times New Roman"/>
          <w:sz w:val="24"/>
          <w:szCs w:val="24"/>
        </w:rPr>
        <w:t xml:space="preserve">Habiyakare, B., Alsaadon, H., Mathai, M. L., Hayes, A., &amp; Zulli, A. (2014). Reduction of angiotensin A and alamandine vasoactivity in the rabbit model of atherogenesis: differential </w:t>
      </w:r>
      <w:r>
        <w:rPr>
          <w:rFonts w:ascii="MS PGothic" w:eastAsia="MS PGothic" w:hAnsi="MS PGothic" w:cs="MS PGothic"/>
          <w:sz w:val="24"/>
          <w:szCs w:val="24"/>
        </w:rPr>
        <w:t>effects of alamandine an</w:t>
      </w:r>
      <w:r>
        <w:rPr>
          <w:rFonts w:ascii="MS PGothic" w:eastAsia="MS PGothic" w:hAnsi="MS PGothic" w:cs="MS PGothic"/>
          <w:sz w:val="24"/>
          <w:szCs w:val="24"/>
        </w:rPr>
        <w:t>d Ang (1‐7).</w:t>
      </w:r>
      <w:r>
        <w:rPr>
          <w:rFonts w:eastAsia="Times New Roman"/>
          <w:sz w:val="24"/>
          <w:szCs w:val="24"/>
        </w:rPr>
        <w:t xml:space="preserve"> </w:t>
      </w:r>
      <w:r>
        <w:rPr>
          <w:rFonts w:eastAsia="Times New Roman"/>
          <w:i/>
          <w:iCs/>
          <w:sz w:val="24"/>
          <w:szCs w:val="24"/>
        </w:rPr>
        <w:t>International journal of experimental pathology</w:t>
      </w:r>
      <w:r>
        <w:rPr>
          <w:rFonts w:eastAsia="Times New Roman"/>
          <w:sz w:val="24"/>
          <w:szCs w:val="24"/>
        </w:rPr>
        <w:t xml:space="preserve">, </w:t>
      </w:r>
      <w:r>
        <w:rPr>
          <w:rFonts w:eastAsia="Times New Roman"/>
          <w:i/>
          <w:iCs/>
          <w:sz w:val="24"/>
          <w:szCs w:val="24"/>
        </w:rPr>
        <w:t>95</w:t>
      </w:r>
      <w:r>
        <w:rPr>
          <w:rFonts w:eastAsia="Times New Roman"/>
          <w:sz w:val="24"/>
          <w:szCs w:val="24"/>
        </w:rPr>
        <w:t>(4),</w:t>
      </w:r>
      <w:r>
        <w:rPr>
          <w:rFonts w:ascii="MS PGothic" w:eastAsia="MS PGothic" w:hAnsi="MS PGothic" w:cs="MS PGothic"/>
          <w:sz w:val="24"/>
          <w:szCs w:val="24"/>
        </w:rPr>
        <w:t xml:space="preserve"> </w:t>
      </w:r>
      <w:r>
        <w:rPr>
          <w:rFonts w:eastAsia="Times New Roman"/>
          <w:sz w:val="24"/>
          <w:szCs w:val="24"/>
        </w:rPr>
        <w:t>290-295</w:t>
      </w:r>
    </w:p>
    <w:p w:rsidR="00BB5F1A" w:rsidRDefault="00BB5F1A">
      <w:pPr>
        <w:spacing w:line="290" w:lineRule="exact"/>
        <w:rPr>
          <w:rFonts w:eastAsia="Times New Roman"/>
          <w:b/>
          <w:bCs/>
          <w:sz w:val="24"/>
          <w:szCs w:val="24"/>
        </w:rPr>
      </w:pPr>
    </w:p>
    <w:p w:rsidR="00BB5F1A" w:rsidRDefault="005107D7">
      <w:pPr>
        <w:numPr>
          <w:ilvl w:val="0"/>
          <w:numId w:val="1"/>
        </w:numPr>
        <w:tabs>
          <w:tab w:val="left" w:pos="367"/>
        </w:tabs>
        <w:spacing w:line="236" w:lineRule="auto"/>
        <w:ind w:left="367" w:hanging="367"/>
        <w:jc w:val="both"/>
        <w:rPr>
          <w:rFonts w:eastAsia="Times New Roman"/>
          <w:b/>
          <w:bCs/>
          <w:sz w:val="24"/>
          <w:szCs w:val="24"/>
        </w:rPr>
      </w:pPr>
      <w:r>
        <w:rPr>
          <w:rFonts w:eastAsia="Times New Roman"/>
          <w:sz w:val="24"/>
          <w:szCs w:val="24"/>
        </w:rPr>
        <w:t xml:space="preserve">Alsaadon, H., Kruzliak, P., Smardencas, A., Hayes, A., Bader, M., Angus, P &amp; Zulli, A. (2015). Increased aortic intimal proliferation due to MasR deletion in vitro. </w:t>
      </w:r>
      <w:r>
        <w:rPr>
          <w:rFonts w:eastAsia="Times New Roman"/>
          <w:i/>
          <w:iCs/>
          <w:sz w:val="24"/>
          <w:szCs w:val="24"/>
        </w:rPr>
        <w:t>International</w:t>
      </w:r>
      <w:r>
        <w:rPr>
          <w:rFonts w:eastAsia="Times New Roman"/>
          <w:i/>
          <w:iCs/>
          <w:sz w:val="24"/>
          <w:szCs w:val="24"/>
        </w:rPr>
        <w:t xml:space="preserve"> journal of experimental pathology</w:t>
      </w:r>
    </w:p>
    <w:p w:rsidR="00BB5F1A" w:rsidRDefault="00BB5F1A">
      <w:pPr>
        <w:spacing w:line="289" w:lineRule="exact"/>
        <w:rPr>
          <w:rFonts w:eastAsia="Times New Roman"/>
          <w:b/>
          <w:bCs/>
          <w:sz w:val="24"/>
          <w:szCs w:val="24"/>
        </w:rPr>
      </w:pPr>
    </w:p>
    <w:p w:rsidR="00BB5F1A" w:rsidRDefault="005107D7">
      <w:pPr>
        <w:numPr>
          <w:ilvl w:val="0"/>
          <w:numId w:val="1"/>
        </w:numPr>
        <w:tabs>
          <w:tab w:val="left" w:pos="367"/>
        </w:tabs>
        <w:spacing w:line="272" w:lineRule="exact"/>
        <w:ind w:left="367" w:hanging="367"/>
        <w:jc w:val="both"/>
        <w:rPr>
          <w:rFonts w:eastAsia="Times New Roman"/>
          <w:b/>
          <w:bCs/>
          <w:sz w:val="24"/>
          <w:szCs w:val="24"/>
        </w:rPr>
      </w:pPr>
      <w:r>
        <w:rPr>
          <w:rFonts w:eastAsia="Times New Roman"/>
          <w:color w:val="222222"/>
          <w:sz w:val="24"/>
          <w:szCs w:val="24"/>
        </w:rPr>
        <w:t>Alsaadon, H., Afroz, A., Karim, A., Habib, S.H., Alramadan, M.J., Billah, B. and Shetty, A.N., 2022. Hypertension and its related factors among patients with type 2 diabetes mellitus</w:t>
      </w:r>
      <w:r>
        <w:rPr>
          <w:rFonts w:ascii="MS PGothic" w:eastAsia="MS PGothic" w:hAnsi="MS PGothic" w:cs="MS PGothic"/>
          <w:color w:val="222222"/>
          <w:sz w:val="24"/>
          <w:szCs w:val="24"/>
        </w:rPr>
        <w:t>–</w:t>
      </w:r>
      <w:r>
        <w:rPr>
          <w:rFonts w:eastAsia="Times New Roman"/>
          <w:color w:val="222222"/>
          <w:sz w:val="24"/>
          <w:szCs w:val="24"/>
        </w:rPr>
        <w:t xml:space="preserve">a multi-hospital study in Bangladesh. </w:t>
      </w:r>
      <w:r>
        <w:rPr>
          <w:rFonts w:eastAsia="Times New Roman"/>
          <w:i/>
          <w:iCs/>
          <w:color w:val="222222"/>
          <w:sz w:val="24"/>
          <w:szCs w:val="24"/>
        </w:rPr>
        <w:t>BMC Public Health</w:t>
      </w:r>
      <w:r>
        <w:rPr>
          <w:rFonts w:eastAsia="Times New Roman"/>
          <w:color w:val="222222"/>
          <w:sz w:val="24"/>
          <w:szCs w:val="24"/>
        </w:rPr>
        <w:t xml:space="preserve">, </w:t>
      </w:r>
      <w:r>
        <w:rPr>
          <w:rFonts w:eastAsia="Times New Roman"/>
          <w:i/>
          <w:iCs/>
          <w:color w:val="222222"/>
          <w:sz w:val="24"/>
          <w:szCs w:val="24"/>
        </w:rPr>
        <w:t>22</w:t>
      </w:r>
      <w:r>
        <w:rPr>
          <w:rFonts w:eastAsia="Times New Roman"/>
          <w:color w:val="222222"/>
          <w:sz w:val="24"/>
          <w:szCs w:val="24"/>
        </w:rPr>
        <w:t>(1), pp.1-10.</w:t>
      </w:r>
    </w:p>
    <w:p w:rsidR="00BB5F1A" w:rsidRDefault="00BB5F1A">
      <w:pPr>
        <w:spacing w:line="200" w:lineRule="exact"/>
        <w:rPr>
          <w:sz w:val="20"/>
          <w:szCs w:val="20"/>
        </w:rPr>
      </w:pPr>
    </w:p>
    <w:p w:rsidR="00BB5F1A" w:rsidRDefault="00BB5F1A">
      <w:pPr>
        <w:spacing w:line="200" w:lineRule="exact"/>
        <w:rPr>
          <w:sz w:val="20"/>
          <w:szCs w:val="20"/>
        </w:rPr>
      </w:pPr>
    </w:p>
    <w:p w:rsidR="00BB5F1A" w:rsidRDefault="00BB5F1A">
      <w:pPr>
        <w:spacing w:line="202" w:lineRule="exact"/>
        <w:rPr>
          <w:sz w:val="20"/>
          <w:szCs w:val="20"/>
        </w:rPr>
      </w:pPr>
    </w:p>
    <w:p w:rsidR="00BB5F1A" w:rsidRDefault="005107D7">
      <w:pPr>
        <w:ind w:left="7"/>
        <w:rPr>
          <w:sz w:val="20"/>
          <w:szCs w:val="20"/>
        </w:rPr>
      </w:pPr>
      <w:r>
        <w:rPr>
          <w:rFonts w:eastAsia="Times New Roman"/>
          <w:b/>
          <w:bCs/>
          <w:sz w:val="24"/>
          <w:szCs w:val="24"/>
        </w:rPr>
        <w:t>Presenting author details</w:t>
      </w:r>
    </w:p>
    <w:p w:rsidR="00BB5F1A" w:rsidRDefault="005107D7">
      <w:pPr>
        <w:ind w:left="7"/>
        <w:rPr>
          <w:sz w:val="20"/>
          <w:szCs w:val="20"/>
        </w:rPr>
      </w:pPr>
      <w:r>
        <w:rPr>
          <w:rFonts w:eastAsia="Times New Roman"/>
          <w:sz w:val="24"/>
          <w:szCs w:val="24"/>
        </w:rPr>
        <w:t>Full name: Hiba Alsaadon</w:t>
      </w:r>
    </w:p>
    <w:p w:rsidR="00BB5F1A" w:rsidRDefault="005107D7">
      <w:pPr>
        <w:ind w:left="7"/>
        <w:rPr>
          <w:sz w:val="20"/>
          <w:szCs w:val="20"/>
        </w:rPr>
      </w:pPr>
      <w:r>
        <w:rPr>
          <w:rFonts w:eastAsia="Times New Roman"/>
          <w:sz w:val="24"/>
          <w:szCs w:val="24"/>
        </w:rPr>
        <w:t>Contact number: (+61) 402636411</w:t>
      </w:r>
    </w:p>
    <w:p w:rsidR="00BB5F1A" w:rsidRDefault="005107D7">
      <w:pPr>
        <w:ind w:left="7"/>
        <w:rPr>
          <w:sz w:val="20"/>
          <w:szCs w:val="20"/>
        </w:rPr>
      </w:pPr>
      <w:r>
        <w:rPr>
          <w:rFonts w:eastAsia="Times New Roman"/>
          <w:sz w:val="24"/>
          <w:szCs w:val="24"/>
        </w:rPr>
        <w:t>Twitter account: I do not have one</w:t>
      </w:r>
    </w:p>
    <w:p w:rsidR="00BB5F1A" w:rsidRDefault="005107D7">
      <w:pPr>
        <w:ind w:left="7"/>
        <w:rPr>
          <w:sz w:val="20"/>
          <w:szCs w:val="20"/>
        </w:rPr>
      </w:pPr>
      <w:r>
        <w:rPr>
          <w:rFonts w:eastAsia="Times New Roman"/>
          <w:sz w:val="24"/>
          <w:szCs w:val="24"/>
        </w:rPr>
        <w:t>Linked In account: Hiba Alsaadon</w:t>
      </w:r>
    </w:p>
    <w:p w:rsidR="00BB5F1A" w:rsidRDefault="005107D7">
      <w:pPr>
        <w:ind w:left="7"/>
        <w:rPr>
          <w:sz w:val="20"/>
          <w:szCs w:val="20"/>
        </w:rPr>
      </w:pPr>
      <w:r>
        <w:rPr>
          <w:rFonts w:eastAsia="Times New Roman"/>
          <w:sz w:val="24"/>
          <w:szCs w:val="24"/>
        </w:rPr>
        <w:t>Session name/ number:</w:t>
      </w:r>
    </w:p>
    <w:p w:rsidR="00BB5F1A" w:rsidRDefault="005107D7">
      <w:pPr>
        <w:ind w:left="7"/>
        <w:rPr>
          <w:sz w:val="20"/>
          <w:szCs w:val="20"/>
        </w:rPr>
      </w:pPr>
      <w:r>
        <w:rPr>
          <w:rFonts w:eastAsia="Times New Roman"/>
          <w:sz w:val="24"/>
          <w:szCs w:val="24"/>
        </w:rPr>
        <w:t>Category: (Oral presentation/ Poster presentation)</w:t>
      </w:r>
    </w:p>
    <w:sectPr w:rsidR="00BB5F1A">
      <w:pgSz w:w="11900" w:h="16838"/>
      <w:pgMar w:top="1440" w:right="1126" w:bottom="1440" w:left="1133" w:header="0" w:footer="0" w:gutter="0"/>
      <w:cols w:space="720" w:equalWidth="0">
        <w:col w:w="964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B23C6"/>
    <w:multiLevelType w:val="hybridMultilevel"/>
    <w:tmpl w:val="C84C85A2"/>
    <w:lvl w:ilvl="0" w:tplc="2FF424EC">
      <w:start w:val="1"/>
      <w:numFmt w:val="decimal"/>
      <w:lvlText w:val="%1."/>
      <w:lvlJc w:val="left"/>
    </w:lvl>
    <w:lvl w:ilvl="1" w:tplc="D0FAB48C">
      <w:numFmt w:val="decimal"/>
      <w:lvlText w:val=""/>
      <w:lvlJc w:val="left"/>
    </w:lvl>
    <w:lvl w:ilvl="2" w:tplc="E7D8DA52">
      <w:numFmt w:val="decimal"/>
      <w:lvlText w:val=""/>
      <w:lvlJc w:val="left"/>
    </w:lvl>
    <w:lvl w:ilvl="3" w:tplc="23F83E5E">
      <w:numFmt w:val="decimal"/>
      <w:lvlText w:val=""/>
      <w:lvlJc w:val="left"/>
    </w:lvl>
    <w:lvl w:ilvl="4" w:tplc="E54C1ACA">
      <w:numFmt w:val="decimal"/>
      <w:lvlText w:val=""/>
      <w:lvlJc w:val="left"/>
    </w:lvl>
    <w:lvl w:ilvl="5" w:tplc="10C46E50">
      <w:numFmt w:val="decimal"/>
      <w:lvlText w:val=""/>
      <w:lvlJc w:val="left"/>
    </w:lvl>
    <w:lvl w:ilvl="6" w:tplc="7AE4DF2C">
      <w:numFmt w:val="decimal"/>
      <w:lvlText w:val=""/>
      <w:lvlJc w:val="left"/>
    </w:lvl>
    <w:lvl w:ilvl="7" w:tplc="1C50711E">
      <w:numFmt w:val="decimal"/>
      <w:lvlText w:val=""/>
      <w:lvlJc w:val="left"/>
    </w:lvl>
    <w:lvl w:ilvl="8" w:tplc="2998F14A">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F1A"/>
    <w:rsid w:val="005107D7"/>
    <w:rsid w:val="00BB5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ENT Surgery Supporting 2018</cp:lastModifiedBy>
  <cp:revision>2</cp:revision>
  <dcterms:created xsi:type="dcterms:W3CDTF">2022-05-27T11:55:00Z</dcterms:created>
  <dcterms:modified xsi:type="dcterms:W3CDTF">2022-05-27T11:55:00Z</dcterms:modified>
</cp:coreProperties>
</file>