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552" w:rsidRDefault="00210A4E">
      <w:pPr>
        <w:spacing w:line="73" w:lineRule="exact"/>
        <w:rPr>
          <w:sz w:val="24"/>
          <w:szCs w:val="24"/>
        </w:rPr>
      </w:pPr>
      <w:bookmarkStart w:id="0" w:name="page1"/>
      <w:bookmarkStart w:id="1" w:name="_GoBack"/>
      <w:bookmarkEnd w:id="0"/>
      <w:bookmarkEnd w:id="1"/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6040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60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1552" w:rsidRDefault="00210A4E">
      <w:pPr>
        <w:ind w:left="4360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8"/>
          <w:szCs w:val="28"/>
        </w:rPr>
        <w:t>17th Annual Congress on</w:t>
      </w:r>
    </w:p>
    <w:p w:rsidR="00251552" w:rsidRDefault="00251552">
      <w:pPr>
        <w:spacing w:line="126" w:lineRule="exact"/>
        <w:rPr>
          <w:sz w:val="24"/>
          <w:szCs w:val="24"/>
        </w:rPr>
      </w:pPr>
    </w:p>
    <w:p w:rsidR="00251552" w:rsidRDefault="00210A4E">
      <w:pPr>
        <w:ind w:left="4300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56"/>
          <w:szCs w:val="56"/>
        </w:rPr>
        <w:t>Neuroscience</w:t>
      </w:r>
    </w:p>
    <w:p w:rsidR="00251552" w:rsidRDefault="00251552">
      <w:pPr>
        <w:spacing w:line="122" w:lineRule="exact"/>
        <w:rPr>
          <w:sz w:val="24"/>
          <w:szCs w:val="24"/>
        </w:rPr>
      </w:pPr>
    </w:p>
    <w:p w:rsidR="00251552" w:rsidRDefault="00210A4E">
      <w:pPr>
        <w:ind w:left="4340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8"/>
          <w:szCs w:val="28"/>
        </w:rPr>
        <w:t>July 18-19, 2022 Webinar</w:t>
      </w:r>
    </w:p>
    <w:p w:rsidR="00251552" w:rsidRDefault="00251552">
      <w:pPr>
        <w:spacing w:line="230" w:lineRule="exact"/>
        <w:rPr>
          <w:sz w:val="24"/>
          <w:szCs w:val="24"/>
        </w:rPr>
      </w:pPr>
    </w:p>
    <w:tbl>
      <w:tblPr>
        <w:tblW w:w="0" w:type="auto"/>
        <w:tblInd w:w="5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0"/>
        <w:gridCol w:w="2080"/>
        <w:gridCol w:w="20"/>
      </w:tblGrid>
      <w:tr w:rsidR="00251552">
        <w:trPr>
          <w:trHeight w:val="299"/>
        </w:trPr>
        <w:tc>
          <w:tcPr>
            <w:tcW w:w="7240" w:type="dxa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6"/>
                <w:szCs w:val="26"/>
              </w:rPr>
              <w:t>Journal of Neurology and Neurorehabilitation Research</w:t>
            </w:r>
          </w:p>
        </w:tc>
        <w:tc>
          <w:tcPr>
            <w:tcW w:w="2080" w:type="dxa"/>
            <w:vMerge w:val="restart"/>
            <w:vAlign w:val="bottom"/>
          </w:tcPr>
          <w:p w:rsidR="00251552" w:rsidRDefault="00210A4E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14"/>
                <w:w w:val="98"/>
                <w:sz w:val="24"/>
                <w:szCs w:val="24"/>
              </w:rPr>
              <w:t>Volume: 7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75"/>
        </w:trPr>
        <w:tc>
          <w:tcPr>
            <w:tcW w:w="7240" w:type="dxa"/>
            <w:vAlign w:val="bottom"/>
          </w:tcPr>
          <w:p w:rsidR="00251552" w:rsidRDefault="00251552">
            <w:pPr>
              <w:rPr>
                <w:sz w:val="6"/>
                <w:szCs w:val="6"/>
              </w:rPr>
            </w:pPr>
          </w:p>
        </w:tc>
        <w:tc>
          <w:tcPr>
            <w:tcW w:w="2080" w:type="dxa"/>
            <w:vMerge/>
            <w:vAlign w:val="bottom"/>
          </w:tcPr>
          <w:p w:rsidR="00251552" w:rsidRDefault="00251552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</w:tbl>
    <w:p w:rsidR="00251552" w:rsidRDefault="00251552">
      <w:pPr>
        <w:spacing w:line="329" w:lineRule="exact"/>
        <w:rPr>
          <w:sz w:val="24"/>
          <w:szCs w:val="24"/>
        </w:rPr>
      </w:pPr>
    </w:p>
    <w:p w:rsidR="00251552" w:rsidRDefault="00210A4E">
      <w:pPr>
        <w:spacing w:line="289" w:lineRule="auto"/>
        <w:ind w:left="20" w:right="520"/>
        <w:rPr>
          <w:sz w:val="20"/>
          <w:szCs w:val="20"/>
        </w:rPr>
      </w:pPr>
      <w:r>
        <w:rPr>
          <w:rFonts w:eastAsia="Times New Roman"/>
          <w:b/>
          <w:bCs/>
          <w:color w:val="02264F"/>
          <w:sz w:val="28"/>
          <w:szCs w:val="28"/>
        </w:rPr>
        <w:t>Serum amyloid A-dependent inflammasome activation, BBB leakage and acute injury in experimental stroke</w:t>
      </w:r>
    </w:p>
    <w:p w:rsidR="00251552" w:rsidRDefault="00251552">
      <w:pPr>
        <w:spacing w:line="26" w:lineRule="exact"/>
        <w:rPr>
          <w:sz w:val="24"/>
          <w:szCs w:val="24"/>
        </w:rPr>
      </w:pPr>
    </w:p>
    <w:p w:rsidR="00251552" w:rsidRDefault="00210A4E">
      <w:pPr>
        <w:ind w:left="20"/>
        <w:rPr>
          <w:sz w:val="20"/>
          <w:szCs w:val="20"/>
        </w:rPr>
      </w:pPr>
      <w:r>
        <w:rPr>
          <w:rFonts w:eastAsia="Times New Roman"/>
          <w:b/>
          <w:bCs/>
          <w:color w:val="231F20"/>
          <w:sz w:val="24"/>
          <w:szCs w:val="24"/>
        </w:rPr>
        <w:t xml:space="preserve">Mark S. </w:t>
      </w:r>
      <w:r>
        <w:rPr>
          <w:rFonts w:eastAsia="Times New Roman"/>
          <w:b/>
          <w:bCs/>
          <w:color w:val="231F20"/>
          <w:sz w:val="24"/>
          <w:szCs w:val="24"/>
        </w:rPr>
        <w:t>Kindy, PhD, FAHA</w:t>
      </w:r>
    </w:p>
    <w:p w:rsidR="00251552" w:rsidRDefault="00251552">
      <w:pPr>
        <w:spacing w:line="12" w:lineRule="exact"/>
        <w:rPr>
          <w:sz w:val="24"/>
          <w:szCs w:val="24"/>
        </w:rPr>
      </w:pPr>
    </w:p>
    <w:p w:rsidR="00251552" w:rsidRDefault="00210A4E">
      <w:pPr>
        <w:ind w:left="20"/>
        <w:rPr>
          <w:sz w:val="20"/>
          <w:szCs w:val="20"/>
        </w:rPr>
      </w:pPr>
      <w:r>
        <w:rPr>
          <w:rFonts w:eastAsia="Times New Roman"/>
          <w:b/>
          <w:bCs/>
          <w:color w:val="231F20"/>
          <w:sz w:val="24"/>
          <w:szCs w:val="24"/>
        </w:rPr>
        <w:t>University of South Florida, USA</w:t>
      </w:r>
    </w:p>
    <w:p w:rsidR="00251552" w:rsidRDefault="00251552">
      <w:pPr>
        <w:spacing w:line="248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980"/>
        <w:gridCol w:w="920"/>
        <w:gridCol w:w="280"/>
        <w:gridCol w:w="280"/>
        <w:gridCol w:w="1400"/>
        <w:gridCol w:w="120"/>
        <w:gridCol w:w="800"/>
        <w:gridCol w:w="580"/>
        <w:gridCol w:w="660"/>
        <w:gridCol w:w="780"/>
        <w:gridCol w:w="1180"/>
        <w:gridCol w:w="360"/>
        <w:gridCol w:w="320"/>
        <w:gridCol w:w="500"/>
        <w:gridCol w:w="460"/>
        <w:gridCol w:w="540"/>
        <w:gridCol w:w="20"/>
      </w:tblGrid>
      <w:tr w:rsidR="00251552">
        <w:trPr>
          <w:trHeight w:val="288"/>
        </w:trPr>
        <w:tc>
          <w:tcPr>
            <w:tcW w:w="1560" w:type="dxa"/>
            <w:gridSpan w:val="2"/>
            <w:vAlign w:val="bottom"/>
          </w:tcPr>
          <w:p w:rsidR="00251552" w:rsidRDefault="00210A4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31F20"/>
                <w:sz w:val="24"/>
                <w:szCs w:val="24"/>
              </w:rPr>
              <w:t>Abstract:</w:t>
            </w:r>
          </w:p>
        </w:tc>
        <w:tc>
          <w:tcPr>
            <w:tcW w:w="9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360" w:type="dxa"/>
            <w:gridSpan w:val="9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Carolina and now at the University of South Florida.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48"/>
                <w:szCs w:val="48"/>
              </w:rPr>
              <w:t>S</w:t>
            </w:r>
            <w:r>
              <w:rPr>
                <w:rFonts w:eastAsia="Times New Roman"/>
                <w:color w:val="231F20"/>
                <w:sz w:val="24"/>
                <w:szCs w:val="24"/>
              </w:rPr>
              <w:t>erum  amyloid  A  (SAA)  proteins  increase</w:t>
            </w:r>
          </w:p>
        </w:tc>
        <w:tc>
          <w:tcPr>
            <w:tcW w:w="5360" w:type="dxa"/>
            <w:gridSpan w:val="9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My  research  program  focuses  on  the  role  and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360" w:type="dxa"/>
            <w:gridSpan w:val="9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mechanisms in disease pathobiology</w:t>
            </w:r>
            <w:r>
              <w:rPr>
                <w:rFonts w:eastAsia="Times New Roman"/>
                <w:sz w:val="24"/>
                <w:szCs w:val="24"/>
              </w:rPr>
              <w:t xml:space="preserve"> with a focus on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349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dramatically in the blood following ischemic injury.</w:t>
            </w:r>
          </w:p>
        </w:tc>
        <w:tc>
          <w:tcPr>
            <w:tcW w:w="3200" w:type="dxa"/>
            <w:gridSpan w:val="4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neuroinflammation and aging.</w:t>
            </w: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The impact of SAAs in the pathogenesis of stroke was</w:t>
            </w:r>
          </w:p>
        </w:tc>
        <w:tc>
          <w:tcPr>
            <w:tcW w:w="3200" w:type="dxa"/>
            <w:gridSpan w:val="4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31F20"/>
                <w:sz w:val="24"/>
                <w:szCs w:val="24"/>
              </w:rPr>
              <w:t>About University/College</w:t>
            </w: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addressed in this study. Wildtype and SAA deficient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mice were exposed to transient intraluminal middle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cerebral  artery  occlusion  (MCAo),  examined  for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infarct volumes, behavioral changes, inflammatory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markers, TUNEL staining, and BBB changes.  In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 xml:space="preserve">addition, </w:t>
            </w:r>
            <w:r>
              <w:rPr>
                <w:rFonts w:eastAsia="Times New Roman"/>
                <w:color w:val="231F20"/>
                <w:sz w:val="24"/>
                <w:szCs w:val="24"/>
              </w:rPr>
              <w:t>over expression of SAA via transgene or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360" w:type="dxa"/>
            <w:gridSpan w:val="8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viral vectors were examined in the SAA deficient</w:t>
            </w:r>
          </w:p>
        </w:tc>
        <w:tc>
          <w:tcPr>
            <w:tcW w:w="5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5"/>
            <w:vAlign w:val="bottom"/>
          </w:tcPr>
          <w:p w:rsidR="00251552" w:rsidRDefault="00210A4E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University of South Florida</w:t>
            </w:r>
          </w:p>
        </w:tc>
        <w:tc>
          <w:tcPr>
            <w:tcW w:w="46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288"/>
        </w:trPr>
        <w:tc>
          <w:tcPr>
            <w:tcW w:w="580" w:type="dxa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mice.</w:t>
            </w:r>
          </w:p>
        </w:tc>
        <w:tc>
          <w:tcPr>
            <w:tcW w:w="980" w:type="dxa"/>
            <w:vAlign w:val="bottom"/>
          </w:tcPr>
          <w:p w:rsidR="00251552" w:rsidRDefault="00210A4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SAA</w:t>
            </w:r>
          </w:p>
        </w:tc>
        <w:tc>
          <w:tcPr>
            <w:tcW w:w="1480" w:type="dxa"/>
            <w:gridSpan w:val="3"/>
            <w:vAlign w:val="bottom"/>
          </w:tcPr>
          <w:p w:rsidR="00251552" w:rsidRDefault="00210A4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levels  were</w:t>
            </w:r>
          </w:p>
        </w:tc>
        <w:tc>
          <w:tcPr>
            <w:tcW w:w="1400" w:type="dxa"/>
            <w:vAlign w:val="bottom"/>
          </w:tcPr>
          <w:p w:rsidR="00251552" w:rsidRDefault="00210A4E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w w:val="98"/>
                <w:sz w:val="24"/>
                <w:szCs w:val="24"/>
              </w:rPr>
              <w:t>significantly</w:t>
            </w:r>
          </w:p>
        </w:tc>
        <w:tc>
          <w:tcPr>
            <w:tcW w:w="920" w:type="dxa"/>
            <w:gridSpan w:val="2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w w:val="99"/>
                <w:sz w:val="24"/>
                <w:szCs w:val="24"/>
              </w:rPr>
              <w:t>increase</w:t>
            </w: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University of South Florida, though a relatively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79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 xml:space="preserve">following ischemia </w:t>
            </w:r>
            <w:r>
              <w:rPr>
                <w:rFonts w:eastAsia="Times New Roman"/>
                <w:color w:val="231F20"/>
                <w:sz w:val="24"/>
                <w:szCs w:val="24"/>
              </w:rPr>
              <w:t>and reperfusion injury (IRI) and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09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2020" w:type="dxa"/>
            <w:gridSpan w:val="3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young university,</w:t>
            </w:r>
          </w:p>
        </w:tc>
        <w:tc>
          <w:tcPr>
            <w:tcW w:w="1180" w:type="dxa"/>
            <w:vMerge w:val="restart"/>
            <w:vAlign w:val="bottom"/>
          </w:tcPr>
          <w:p w:rsidR="00251552" w:rsidRDefault="00210A4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founded in</w:t>
            </w:r>
          </w:p>
        </w:tc>
        <w:tc>
          <w:tcPr>
            <w:tcW w:w="680" w:type="dxa"/>
            <w:gridSpan w:val="2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1956,</w:t>
            </w:r>
          </w:p>
        </w:tc>
        <w:tc>
          <w:tcPr>
            <w:tcW w:w="500" w:type="dxa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we</w:t>
            </w:r>
          </w:p>
        </w:tc>
        <w:tc>
          <w:tcPr>
            <w:tcW w:w="460" w:type="dxa"/>
            <w:vMerge w:val="restart"/>
            <w:vAlign w:val="bottom"/>
          </w:tcPr>
          <w:p w:rsidR="00251552" w:rsidRDefault="00210A4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have</w:t>
            </w:r>
          </w:p>
        </w:tc>
        <w:tc>
          <w:tcPr>
            <w:tcW w:w="54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rich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77"/>
        </w:trPr>
        <w:tc>
          <w:tcPr>
            <w:tcW w:w="580" w:type="dxa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mice</w:t>
            </w:r>
          </w:p>
        </w:tc>
        <w:tc>
          <w:tcPr>
            <w:tcW w:w="980" w:type="dxa"/>
            <w:vMerge w:val="restart"/>
            <w:vAlign w:val="bottom"/>
          </w:tcPr>
          <w:p w:rsidR="00251552" w:rsidRDefault="00210A4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deficient</w:t>
            </w:r>
          </w:p>
        </w:tc>
        <w:tc>
          <w:tcPr>
            <w:tcW w:w="1200" w:type="dxa"/>
            <w:gridSpan w:val="2"/>
            <w:vMerge w:val="restart"/>
            <w:vAlign w:val="bottom"/>
          </w:tcPr>
          <w:p w:rsidR="00251552" w:rsidRDefault="00210A4E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in  SAAs</w:t>
            </w:r>
          </w:p>
        </w:tc>
        <w:tc>
          <w:tcPr>
            <w:tcW w:w="1680" w:type="dxa"/>
            <w:gridSpan w:val="2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showed  reduced</w:t>
            </w:r>
          </w:p>
        </w:tc>
        <w:tc>
          <w:tcPr>
            <w:tcW w:w="120" w:type="dxa"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infarct</w:t>
            </w:r>
          </w:p>
        </w:tc>
        <w:tc>
          <w:tcPr>
            <w:tcW w:w="2020" w:type="dxa"/>
            <w:gridSpan w:val="3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1180" w:type="dxa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gridSpan w:val="2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11"/>
        </w:trPr>
        <w:tc>
          <w:tcPr>
            <w:tcW w:w="580" w:type="dxa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1680" w:type="dxa"/>
            <w:gridSpan w:val="2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800" w:type="dxa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traditions – traditions of access and opportunity for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75"/>
        </w:trPr>
        <w:tc>
          <w:tcPr>
            <w:tcW w:w="4560" w:type="dxa"/>
            <w:gridSpan w:val="7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volumes and improved behavioral outcomes.</w:t>
            </w:r>
          </w:p>
        </w:tc>
        <w:tc>
          <w:tcPr>
            <w:tcW w:w="80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SAA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13"/>
        </w:trPr>
        <w:tc>
          <w:tcPr>
            <w:tcW w:w="4560" w:type="dxa"/>
            <w:gridSpan w:val="7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800" w:type="dxa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students, of academic excellence, of groundbreaking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73"/>
        </w:trPr>
        <w:tc>
          <w:tcPr>
            <w:tcW w:w="1560" w:type="dxa"/>
            <w:gridSpan w:val="2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deficient  mice</w:t>
            </w:r>
          </w:p>
        </w:tc>
        <w:tc>
          <w:tcPr>
            <w:tcW w:w="920" w:type="dxa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showed</w:t>
            </w:r>
          </w:p>
        </w:tc>
        <w:tc>
          <w:tcPr>
            <w:tcW w:w="28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a</w:t>
            </w:r>
          </w:p>
        </w:tc>
        <w:tc>
          <w:tcPr>
            <w:tcW w:w="1680" w:type="dxa"/>
            <w:gridSpan w:val="2"/>
            <w:vMerge w:val="restart"/>
            <w:vAlign w:val="bottom"/>
          </w:tcPr>
          <w:p w:rsidR="00251552" w:rsidRDefault="00210A4E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reduction  in</w:t>
            </w:r>
          </w:p>
        </w:tc>
        <w:tc>
          <w:tcPr>
            <w:tcW w:w="920" w:type="dxa"/>
            <w:gridSpan w:val="2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w w:val="99"/>
                <w:sz w:val="24"/>
                <w:szCs w:val="24"/>
              </w:rPr>
              <w:t>TUNEL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15"/>
        </w:trPr>
        <w:tc>
          <w:tcPr>
            <w:tcW w:w="1560" w:type="dxa"/>
            <w:gridSpan w:val="2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920" w:type="dxa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1680" w:type="dxa"/>
            <w:gridSpan w:val="2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920" w:type="dxa"/>
            <w:gridSpan w:val="2"/>
            <w:vMerge/>
            <w:vAlign w:val="bottom"/>
          </w:tcPr>
          <w:p w:rsidR="00251552" w:rsidRDefault="00251552">
            <w:pPr>
              <w:rPr>
                <w:sz w:val="9"/>
                <w:szCs w:val="9"/>
              </w:rPr>
            </w:pPr>
          </w:p>
        </w:tc>
        <w:tc>
          <w:tcPr>
            <w:tcW w:w="1240" w:type="dxa"/>
            <w:gridSpan w:val="2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research,</w:t>
            </w:r>
          </w:p>
        </w:tc>
        <w:tc>
          <w:tcPr>
            <w:tcW w:w="780" w:type="dxa"/>
            <w:vMerge w:val="restart"/>
            <w:vAlign w:val="bottom"/>
          </w:tcPr>
          <w:p w:rsidR="00251552" w:rsidRDefault="00210A4E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of</w:t>
            </w:r>
          </w:p>
        </w:tc>
        <w:tc>
          <w:tcPr>
            <w:tcW w:w="1180" w:type="dxa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serving</w:t>
            </w:r>
          </w:p>
        </w:tc>
        <w:tc>
          <w:tcPr>
            <w:tcW w:w="680" w:type="dxa"/>
            <w:gridSpan w:val="2"/>
            <w:vMerge w:val="restart"/>
            <w:vAlign w:val="bottom"/>
          </w:tcPr>
          <w:p w:rsidR="00251552" w:rsidRDefault="00210A4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our</w:t>
            </w:r>
          </w:p>
        </w:tc>
        <w:tc>
          <w:tcPr>
            <w:tcW w:w="1480" w:type="dxa"/>
            <w:gridSpan w:val="3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communities.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72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staining, inflammation and decreased glial activation.</w:t>
            </w:r>
          </w:p>
        </w:tc>
        <w:tc>
          <w:tcPr>
            <w:tcW w:w="1240" w:type="dxa"/>
            <w:gridSpan w:val="2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1180" w:type="dxa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gridSpan w:val="2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1480" w:type="dxa"/>
            <w:gridSpan w:val="3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16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USF is situated in the vibrant and diverse </w:t>
            </w:r>
            <w:r>
              <w:rPr>
                <w:rFonts w:eastAsia="Times New Roman"/>
                <w:sz w:val="24"/>
                <w:szCs w:val="24"/>
              </w:rPr>
              <w:t>Tampa Bay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70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Mice lacking both acute phase SAAs demonstrated a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18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region, with campuses in Tampa, St. Petersburg and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68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reduction in expression of the NLRP3 inflammasome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0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2020" w:type="dxa"/>
            <w:gridSpan w:val="3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Sarasota-Manatee.</w:t>
            </w:r>
          </w:p>
        </w:tc>
        <w:tc>
          <w:tcPr>
            <w:tcW w:w="1180" w:type="dxa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Together,</w:t>
            </w:r>
          </w:p>
        </w:tc>
        <w:tc>
          <w:tcPr>
            <w:tcW w:w="360" w:type="dxa"/>
            <w:vMerge w:val="restart"/>
            <w:vAlign w:val="bottom"/>
          </w:tcPr>
          <w:p w:rsidR="00251552" w:rsidRDefault="00210A4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our</w:t>
            </w:r>
          </w:p>
        </w:tc>
        <w:tc>
          <w:tcPr>
            <w:tcW w:w="1280" w:type="dxa"/>
            <w:gridSpan w:val="3"/>
            <w:vMerge w:val="restart"/>
            <w:vAlign w:val="bottom"/>
          </w:tcPr>
          <w:p w:rsidR="00251552" w:rsidRDefault="00210A4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campuses</w:t>
            </w:r>
          </w:p>
        </w:tc>
        <w:tc>
          <w:tcPr>
            <w:tcW w:w="54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serve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66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 xml:space="preserve">protein and SAA/NLRP3 KO mice </w:t>
            </w:r>
            <w:r>
              <w:rPr>
                <w:rFonts w:eastAsia="Times New Roman"/>
                <w:color w:val="231F20"/>
                <w:sz w:val="24"/>
                <w:szCs w:val="24"/>
              </w:rPr>
              <w:t>showed a slight</w:t>
            </w:r>
          </w:p>
        </w:tc>
        <w:tc>
          <w:tcPr>
            <w:tcW w:w="2020" w:type="dxa"/>
            <w:gridSpan w:val="3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1180" w:type="dxa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360" w:type="dxa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gridSpan w:val="3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2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1240" w:type="dxa"/>
            <w:gridSpan w:val="2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more than</w:t>
            </w:r>
          </w:p>
        </w:tc>
        <w:tc>
          <w:tcPr>
            <w:tcW w:w="78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50,000</w:t>
            </w:r>
          </w:p>
        </w:tc>
        <w:tc>
          <w:tcPr>
            <w:tcW w:w="1860" w:type="dxa"/>
            <w:gridSpan w:val="3"/>
            <w:vMerge w:val="restart"/>
            <w:vAlign w:val="bottom"/>
          </w:tcPr>
          <w:p w:rsidR="00251552" w:rsidRDefault="00210A4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students pursuing</w:t>
            </w:r>
          </w:p>
        </w:tc>
        <w:tc>
          <w:tcPr>
            <w:tcW w:w="1480" w:type="dxa"/>
            <w:gridSpan w:val="3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undergraduate,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64"/>
        </w:trPr>
        <w:tc>
          <w:tcPr>
            <w:tcW w:w="1560" w:type="dxa"/>
            <w:gridSpan w:val="2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improvement.</w:t>
            </w:r>
          </w:p>
        </w:tc>
        <w:tc>
          <w:tcPr>
            <w:tcW w:w="1200" w:type="dxa"/>
            <w:gridSpan w:val="2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Restoration</w:t>
            </w:r>
          </w:p>
        </w:tc>
        <w:tc>
          <w:tcPr>
            <w:tcW w:w="280" w:type="dxa"/>
            <w:vMerge w:val="restart"/>
            <w:vAlign w:val="bottom"/>
          </w:tcPr>
          <w:p w:rsidR="00251552" w:rsidRDefault="00210A4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w w:val="89"/>
                <w:sz w:val="24"/>
                <w:szCs w:val="24"/>
              </w:rPr>
              <w:t>of</w:t>
            </w:r>
          </w:p>
        </w:tc>
        <w:tc>
          <w:tcPr>
            <w:tcW w:w="2320" w:type="dxa"/>
            <w:gridSpan w:val="3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SAA expression via</w:t>
            </w:r>
          </w:p>
        </w:tc>
        <w:tc>
          <w:tcPr>
            <w:tcW w:w="1240" w:type="dxa"/>
            <w:gridSpan w:val="2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1860" w:type="dxa"/>
            <w:gridSpan w:val="3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1480" w:type="dxa"/>
            <w:gridSpan w:val="3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4"/>
        </w:trPr>
        <w:tc>
          <w:tcPr>
            <w:tcW w:w="1560" w:type="dxa"/>
            <w:gridSpan w:val="2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2320" w:type="dxa"/>
            <w:gridSpan w:val="3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graduate, specialist and professional degrees. Across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62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SAA tg mice or adenoviral expression reestablished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6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our</w:t>
            </w:r>
          </w:p>
        </w:tc>
        <w:tc>
          <w:tcPr>
            <w:tcW w:w="4260" w:type="dxa"/>
            <w:gridSpan w:val="7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13 </w:t>
            </w:r>
            <w:r>
              <w:rPr>
                <w:rFonts w:eastAsia="Times New Roman"/>
                <w:sz w:val="24"/>
                <w:szCs w:val="24"/>
              </w:rPr>
              <w:t>colleges, undergraduates choose from</w:t>
            </w:r>
          </w:p>
        </w:tc>
        <w:tc>
          <w:tcPr>
            <w:tcW w:w="54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more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61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the detrimental effects of SAA on infarct volume. A</w:t>
            </w:r>
          </w:p>
        </w:tc>
        <w:tc>
          <w:tcPr>
            <w:tcW w:w="58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4260" w:type="dxa"/>
            <w:gridSpan w:val="7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7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than</w:t>
            </w:r>
          </w:p>
        </w:tc>
        <w:tc>
          <w:tcPr>
            <w:tcW w:w="1440" w:type="dxa"/>
            <w:gridSpan w:val="2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200 majors,</w:t>
            </w:r>
          </w:p>
        </w:tc>
        <w:tc>
          <w:tcPr>
            <w:tcW w:w="1180" w:type="dxa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minors and</w:t>
            </w:r>
          </w:p>
        </w:tc>
        <w:tc>
          <w:tcPr>
            <w:tcW w:w="1640" w:type="dxa"/>
            <w:gridSpan w:val="4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concentrations,</w:t>
            </w:r>
          </w:p>
        </w:tc>
        <w:tc>
          <w:tcPr>
            <w:tcW w:w="54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from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59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reduction in BBB permeability was seen in the SAA</w:t>
            </w:r>
          </w:p>
        </w:tc>
        <w:tc>
          <w:tcPr>
            <w:tcW w:w="58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1640" w:type="dxa"/>
            <w:gridSpan w:val="4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9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business and engineering to the arts and USF </w:t>
            </w:r>
            <w:r>
              <w:rPr>
                <w:rFonts w:eastAsia="Times New Roman"/>
                <w:sz w:val="24"/>
                <w:szCs w:val="24"/>
              </w:rPr>
              <w:t>Health.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57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KO mice and anti-SAA antibody treatment reduced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31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3200" w:type="dxa"/>
            <w:gridSpan w:val="4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High-impact  global  research</w:t>
            </w:r>
          </w:p>
        </w:tc>
        <w:tc>
          <w:tcPr>
            <w:tcW w:w="360" w:type="dxa"/>
            <w:vMerge w:val="restart"/>
            <w:vAlign w:val="bottom"/>
          </w:tcPr>
          <w:p w:rsidR="00251552" w:rsidRDefault="00210A4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is</w:t>
            </w:r>
          </w:p>
        </w:tc>
        <w:tc>
          <w:tcPr>
            <w:tcW w:w="820" w:type="dxa"/>
            <w:gridSpan w:val="2"/>
            <w:vMerge w:val="restart"/>
            <w:vAlign w:val="bottom"/>
          </w:tcPr>
          <w:p w:rsidR="00251552" w:rsidRDefault="00210A4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central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  USF’s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55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the effects on ischemic injury.The data suggest that</w:t>
            </w:r>
          </w:p>
        </w:tc>
        <w:tc>
          <w:tcPr>
            <w:tcW w:w="3200" w:type="dxa"/>
            <w:gridSpan w:val="4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820" w:type="dxa"/>
            <w:gridSpan w:val="2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gridSpan w:val="2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33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1240" w:type="dxa"/>
            <w:gridSpan w:val="2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mission as</w:t>
            </w:r>
          </w:p>
        </w:tc>
        <w:tc>
          <w:tcPr>
            <w:tcW w:w="78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one of</w:t>
            </w:r>
          </w:p>
        </w:tc>
        <w:tc>
          <w:tcPr>
            <w:tcW w:w="1180" w:type="dxa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only three</w:t>
            </w:r>
          </w:p>
        </w:tc>
        <w:tc>
          <w:tcPr>
            <w:tcW w:w="1180" w:type="dxa"/>
            <w:gridSpan w:val="3"/>
            <w:vMerge w:val="restart"/>
            <w:vAlign w:val="bottom"/>
          </w:tcPr>
          <w:p w:rsidR="00251552" w:rsidRDefault="00210A4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Preeminent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Research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53"/>
        </w:trPr>
        <w:tc>
          <w:tcPr>
            <w:tcW w:w="580" w:type="dxa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acute</w:t>
            </w:r>
          </w:p>
        </w:tc>
        <w:tc>
          <w:tcPr>
            <w:tcW w:w="1900" w:type="dxa"/>
            <w:gridSpan w:val="2"/>
            <w:vMerge w:val="restart"/>
            <w:vAlign w:val="bottom"/>
          </w:tcPr>
          <w:p w:rsidR="00251552" w:rsidRDefault="00210A4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phase SAAs play</w:t>
            </w:r>
          </w:p>
        </w:tc>
        <w:tc>
          <w:tcPr>
            <w:tcW w:w="28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an</w:t>
            </w:r>
          </w:p>
        </w:tc>
        <w:tc>
          <w:tcPr>
            <w:tcW w:w="1800" w:type="dxa"/>
            <w:gridSpan w:val="3"/>
            <w:vMerge w:val="restart"/>
            <w:vAlign w:val="bottom"/>
          </w:tcPr>
          <w:p w:rsidR="00251552" w:rsidRDefault="00210A4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injurious role in</w:t>
            </w:r>
          </w:p>
        </w:tc>
        <w:tc>
          <w:tcPr>
            <w:tcW w:w="800" w:type="dxa"/>
            <w:vMerge w:val="restart"/>
            <w:vAlign w:val="bottom"/>
          </w:tcPr>
          <w:p w:rsidR="00251552" w:rsidRDefault="00210A4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stroke</w:t>
            </w:r>
          </w:p>
        </w:tc>
        <w:tc>
          <w:tcPr>
            <w:tcW w:w="1240" w:type="dxa"/>
            <w:gridSpan w:val="2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gridSpan w:val="3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gridSpan w:val="2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35"/>
        </w:trPr>
        <w:tc>
          <w:tcPr>
            <w:tcW w:w="580" w:type="dxa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1900" w:type="dxa"/>
            <w:gridSpan w:val="2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1800" w:type="dxa"/>
            <w:gridSpan w:val="3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Universities, as designated by the Florida Board of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51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outcomes. Therefore, therapeutics that target elevated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37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1"/>
                <w:szCs w:val="11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Governors. The Preeminence program rewards high-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50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SAA levels following stroke might help to reduce the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38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2"/>
                <w:szCs w:val="12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achieving universities based on 12 metrics, including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48"/>
        </w:trPr>
        <w:tc>
          <w:tcPr>
            <w:tcW w:w="5360" w:type="dxa"/>
            <w:gridSpan w:val="8"/>
            <w:vMerge w:val="restart"/>
            <w:vAlign w:val="bottom"/>
          </w:tcPr>
          <w:p w:rsidR="00251552" w:rsidRDefault="00210A4E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231F20"/>
                <w:sz w:val="24"/>
                <w:szCs w:val="24"/>
              </w:rPr>
              <w:t>harmful effects and improve long-term consequences.</w:t>
            </w: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66"/>
        </w:trPr>
        <w:tc>
          <w:tcPr>
            <w:tcW w:w="5360" w:type="dxa"/>
            <w:gridSpan w:val="8"/>
            <w:vMerge/>
            <w:vAlign w:val="bottom"/>
          </w:tcPr>
          <w:p w:rsidR="00251552" w:rsidRDefault="00251552">
            <w:pPr>
              <w:rPr>
                <w:sz w:val="14"/>
                <w:szCs w:val="14"/>
              </w:rPr>
            </w:pPr>
          </w:p>
        </w:tc>
        <w:tc>
          <w:tcPr>
            <w:tcW w:w="5360" w:type="dxa"/>
            <w:gridSpan w:val="9"/>
            <w:vMerge w:val="restart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graduation rates, student retention rates, research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120"/>
        </w:trPr>
        <w:tc>
          <w:tcPr>
            <w:tcW w:w="58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140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5360" w:type="dxa"/>
            <w:gridSpan w:val="9"/>
            <w:vMerge/>
            <w:vAlign w:val="bottom"/>
          </w:tcPr>
          <w:p w:rsidR="00251552" w:rsidRDefault="00251552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  <w:tr w:rsidR="00251552">
        <w:trPr>
          <w:trHeight w:val="314"/>
        </w:trPr>
        <w:tc>
          <w:tcPr>
            <w:tcW w:w="1560" w:type="dxa"/>
            <w:gridSpan w:val="2"/>
            <w:vAlign w:val="bottom"/>
          </w:tcPr>
          <w:p w:rsidR="00251552" w:rsidRDefault="00210A4E">
            <w:pPr>
              <w:spacing w:line="27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31F20"/>
                <w:sz w:val="24"/>
                <w:szCs w:val="24"/>
              </w:rPr>
              <w:t>Biography:</w:t>
            </w:r>
          </w:p>
        </w:tc>
        <w:tc>
          <w:tcPr>
            <w:tcW w:w="9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251552" w:rsidRDefault="00251552">
            <w:pPr>
              <w:rPr>
                <w:sz w:val="24"/>
                <w:szCs w:val="24"/>
              </w:rPr>
            </w:pPr>
          </w:p>
        </w:tc>
        <w:tc>
          <w:tcPr>
            <w:tcW w:w="5360" w:type="dxa"/>
            <w:gridSpan w:val="9"/>
            <w:vAlign w:val="bottom"/>
          </w:tcPr>
          <w:p w:rsidR="00251552" w:rsidRDefault="00210A4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expenditures and the number of patents awarded.</w:t>
            </w:r>
          </w:p>
        </w:tc>
        <w:tc>
          <w:tcPr>
            <w:tcW w:w="0" w:type="dxa"/>
            <w:vAlign w:val="bottom"/>
          </w:tcPr>
          <w:p w:rsidR="00251552" w:rsidRDefault="00251552">
            <w:pPr>
              <w:rPr>
                <w:sz w:val="1"/>
                <w:szCs w:val="1"/>
              </w:rPr>
            </w:pPr>
          </w:p>
        </w:tc>
      </w:tr>
    </w:tbl>
    <w:p w:rsidR="00251552" w:rsidRDefault="00210A4E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3810635</wp:posOffset>
            </wp:positionH>
            <wp:positionV relativeFrom="paragraph">
              <wp:posOffset>-4990465</wp:posOffset>
            </wp:positionV>
            <wp:extent cx="2690495" cy="12884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28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1552" w:rsidRDefault="00251552">
      <w:pPr>
        <w:sectPr w:rsidR="00251552">
          <w:pgSz w:w="11920" w:h="16914"/>
          <w:pgMar w:top="309" w:right="191" w:bottom="0" w:left="620" w:header="0" w:footer="0" w:gutter="0"/>
          <w:cols w:space="720" w:equalWidth="0">
            <w:col w:w="11100"/>
          </w:cols>
        </w:sectPr>
      </w:pPr>
    </w:p>
    <w:p w:rsidR="00251552" w:rsidRDefault="00251552">
      <w:pPr>
        <w:spacing w:line="13" w:lineRule="exact"/>
        <w:rPr>
          <w:sz w:val="24"/>
          <w:szCs w:val="24"/>
        </w:rPr>
      </w:pPr>
    </w:p>
    <w:p w:rsidR="00251552" w:rsidRDefault="00210A4E">
      <w:pPr>
        <w:spacing w:line="253" w:lineRule="auto"/>
        <w:ind w:lef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I have a broad background in neurosciences, biochemistry, cell and molecular biology with specific training and expertise in neurological diseases. As a graduate student at Boston University and later in post-doctoral training at </w:t>
      </w:r>
      <w:r>
        <w:rPr>
          <w:rFonts w:eastAsia="Times New Roman"/>
          <w:sz w:val="24"/>
          <w:szCs w:val="24"/>
        </w:rPr>
        <w:t>the Salk Institute, I gained significant training and expertise in pathophysiology of disease. I was faculty at the University of Kentucky, Medical University of South</w:t>
      </w:r>
    </w:p>
    <w:p w:rsidR="00251552" w:rsidRDefault="00210A4E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-393065</wp:posOffset>
            </wp:positionH>
            <wp:positionV relativeFrom="paragraph">
              <wp:posOffset>87630</wp:posOffset>
            </wp:positionV>
            <wp:extent cx="7559675" cy="3289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1552" w:rsidRDefault="00210A4E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251552" w:rsidRDefault="00251552">
      <w:pPr>
        <w:spacing w:line="98" w:lineRule="exact"/>
        <w:rPr>
          <w:sz w:val="24"/>
          <w:szCs w:val="24"/>
        </w:rPr>
      </w:pPr>
    </w:p>
    <w:p w:rsidR="00251552" w:rsidRDefault="00210A4E">
      <w:pPr>
        <w:rPr>
          <w:sz w:val="20"/>
          <w:szCs w:val="20"/>
        </w:rPr>
      </w:pPr>
      <w:r>
        <w:rPr>
          <w:rFonts w:eastAsia="Times New Roman"/>
          <w:b/>
          <w:bCs/>
          <w:color w:val="231F20"/>
          <w:sz w:val="24"/>
          <w:szCs w:val="24"/>
        </w:rPr>
        <w:t>References:</w:t>
      </w:r>
    </w:p>
    <w:p w:rsidR="00251552" w:rsidRDefault="00251552">
      <w:pPr>
        <w:spacing w:line="133" w:lineRule="exact"/>
        <w:rPr>
          <w:sz w:val="24"/>
          <w:szCs w:val="24"/>
        </w:rPr>
      </w:pPr>
    </w:p>
    <w:p w:rsidR="00251552" w:rsidRDefault="00210A4E">
      <w:pPr>
        <w:numPr>
          <w:ilvl w:val="0"/>
          <w:numId w:val="1"/>
        </w:numPr>
        <w:tabs>
          <w:tab w:val="left" w:pos="360"/>
        </w:tabs>
        <w:spacing w:line="256" w:lineRule="auto"/>
        <w:ind w:left="360" w:right="400" w:hanging="356"/>
        <w:jc w:val="both"/>
        <w:rPr>
          <w:rFonts w:eastAsia="Times New Roman"/>
          <w:color w:val="231F20"/>
          <w:sz w:val="24"/>
          <w:szCs w:val="24"/>
        </w:rPr>
      </w:pPr>
      <w:r>
        <w:rPr>
          <w:rFonts w:eastAsia="Times New Roman"/>
          <w:color w:val="231F20"/>
          <w:sz w:val="24"/>
          <w:szCs w:val="24"/>
        </w:rPr>
        <w:t>Yu J, Zhu H, Taheri S, Mondy W, Bonilha L, Magwood GS, Lackland D, Ada</w:t>
      </w:r>
      <w:r>
        <w:rPr>
          <w:rFonts w:eastAsia="Times New Roman"/>
          <w:color w:val="231F20"/>
          <w:sz w:val="24"/>
          <w:szCs w:val="24"/>
        </w:rPr>
        <w:t>ms RJ, Kindy MS. Serum amyloid A-mediated inflammasome activation in microglial cells. J Neurosci. 2019;39:9465-9476.</w:t>
      </w:r>
    </w:p>
    <w:p w:rsidR="00251552" w:rsidRDefault="00251552">
      <w:pPr>
        <w:spacing w:line="542" w:lineRule="exact"/>
        <w:rPr>
          <w:sz w:val="24"/>
          <w:szCs w:val="24"/>
        </w:rPr>
      </w:pPr>
    </w:p>
    <w:p w:rsidR="00251552" w:rsidRDefault="00251552">
      <w:pPr>
        <w:sectPr w:rsidR="00251552">
          <w:type w:val="continuous"/>
          <w:pgSz w:w="11920" w:h="16914"/>
          <w:pgMar w:top="309" w:right="191" w:bottom="0" w:left="620" w:header="0" w:footer="0" w:gutter="0"/>
          <w:cols w:num="2" w:space="720" w:equalWidth="0">
            <w:col w:w="5160" w:space="340"/>
            <w:col w:w="5600"/>
          </w:cols>
        </w:sectPr>
      </w:pPr>
    </w:p>
    <w:p w:rsidR="00251552" w:rsidRDefault="00251552">
      <w:pPr>
        <w:spacing w:line="33" w:lineRule="exact"/>
        <w:rPr>
          <w:sz w:val="24"/>
          <w:szCs w:val="24"/>
        </w:rPr>
      </w:pPr>
    </w:p>
    <w:p w:rsidR="00251552" w:rsidRDefault="00210A4E">
      <w:pPr>
        <w:tabs>
          <w:tab w:val="left" w:pos="5140"/>
        </w:tabs>
        <w:ind w:left="480"/>
        <w:rPr>
          <w:rFonts w:eastAsia="Times New Roman"/>
          <w:b/>
          <w:bCs/>
          <w:color w:val="FFFFFF"/>
          <w:sz w:val="24"/>
          <w:szCs w:val="24"/>
        </w:rPr>
      </w:pPr>
      <w:hyperlink r:id="rId9">
        <w:r>
          <w:rPr>
            <w:rFonts w:eastAsia="Times New Roman"/>
            <w:b/>
            <w:bCs/>
            <w:color w:val="FFFFFF"/>
            <w:sz w:val="24"/>
            <w:szCs w:val="24"/>
          </w:rPr>
          <w:t>kindym@usf.edu</w:t>
        </w:r>
      </w:hyperlink>
      <w:r>
        <w:rPr>
          <w:rFonts w:eastAsia="Times New Roman"/>
          <w:b/>
          <w:bCs/>
          <w:color w:val="FFFFFF"/>
          <w:sz w:val="24"/>
          <w:szCs w:val="24"/>
        </w:rPr>
        <w:tab/>
      </w:r>
      <w:r>
        <w:rPr>
          <w:rFonts w:eastAsia="Times New Roman"/>
          <w:b/>
          <w:bCs/>
          <w:color w:val="FFFFFF"/>
          <w:sz w:val="26"/>
          <w:szCs w:val="26"/>
        </w:rPr>
        <w:t>https://neurosciencecongress.neurologyconference.com/</w:t>
      </w:r>
    </w:p>
    <w:p w:rsidR="00251552" w:rsidRDefault="00251552">
      <w:pPr>
        <w:sectPr w:rsidR="00251552">
          <w:type w:val="continuous"/>
          <w:pgSz w:w="11920" w:h="16914"/>
          <w:pgMar w:top="309" w:right="191" w:bottom="0" w:left="620" w:header="0" w:footer="0" w:gutter="0"/>
          <w:cols w:space="720" w:equalWidth="0">
            <w:col w:w="11100"/>
          </w:cols>
        </w:sectPr>
      </w:pPr>
    </w:p>
    <w:p w:rsidR="00210A4E" w:rsidRDefault="00210A4E">
      <w:bookmarkStart w:id="2" w:name="page2"/>
      <w:bookmarkEnd w:id="2"/>
    </w:p>
    <w:sectPr w:rsidR="00210A4E">
      <w:pgSz w:w="11920" w:h="16841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23C6"/>
    <w:multiLevelType w:val="hybridMultilevel"/>
    <w:tmpl w:val="00B45ABE"/>
    <w:lvl w:ilvl="0" w:tplc="B3D459C0">
      <w:start w:val="1"/>
      <w:numFmt w:val="decimal"/>
      <w:lvlText w:val="%1."/>
      <w:lvlJc w:val="left"/>
    </w:lvl>
    <w:lvl w:ilvl="1" w:tplc="7252197E">
      <w:numFmt w:val="decimal"/>
      <w:lvlText w:val=""/>
      <w:lvlJc w:val="left"/>
    </w:lvl>
    <w:lvl w:ilvl="2" w:tplc="404AC1A8">
      <w:numFmt w:val="decimal"/>
      <w:lvlText w:val=""/>
      <w:lvlJc w:val="left"/>
    </w:lvl>
    <w:lvl w:ilvl="3" w:tplc="C95C5578">
      <w:numFmt w:val="decimal"/>
      <w:lvlText w:val=""/>
      <w:lvlJc w:val="left"/>
    </w:lvl>
    <w:lvl w:ilvl="4" w:tplc="325E9216">
      <w:numFmt w:val="decimal"/>
      <w:lvlText w:val=""/>
      <w:lvlJc w:val="left"/>
    </w:lvl>
    <w:lvl w:ilvl="5" w:tplc="D32CEB6A">
      <w:numFmt w:val="decimal"/>
      <w:lvlText w:val=""/>
      <w:lvlJc w:val="left"/>
    </w:lvl>
    <w:lvl w:ilvl="6" w:tplc="FB98B02A">
      <w:numFmt w:val="decimal"/>
      <w:lvlText w:val=""/>
      <w:lvlJc w:val="left"/>
    </w:lvl>
    <w:lvl w:ilvl="7" w:tplc="D5ACA732">
      <w:numFmt w:val="decimal"/>
      <w:lvlText w:val=""/>
      <w:lvlJc w:val="left"/>
    </w:lvl>
    <w:lvl w:ilvl="8" w:tplc="B99042D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552"/>
    <w:rsid w:val="00210A4E"/>
    <w:rsid w:val="00251552"/>
    <w:rsid w:val="0044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rlan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ENT Surgery Supporting 2018</cp:lastModifiedBy>
  <cp:revision>2</cp:revision>
  <dcterms:created xsi:type="dcterms:W3CDTF">2022-05-27T11:52:00Z</dcterms:created>
  <dcterms:modified xsi:type="dcterms:W3CDTF">2022-05-27T11:52:00Z</dcterms:modified>
</cp:coreProperties>
</file>