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B98" w:rsidRDefault="00351B98" w:rsidP="00351B98">
      <w:pPr>
        <w:pStyle w:val="Default"/>
      </w:pPr>
    </w:p>
    <w:p w:rsidR="00351B98" w:rsidRDefault="00351B98" w:rsidP="00351B98">
      <w:pPr>
        <w:pStyle w:val="Pa8"/>
        <w:spacing w:after="14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Metabolic indexes of obesity in patients with common mental disorders in stable stage </w:t>
      </w:r>
    </w:p>
    <w:p w:rsidR="00351B98" w:rsidRDefault="00351B98" w:rsidP="00351B98">
      <w:pPr>
        <w:pStyle w:val="Pa9"/>
        <w:jc w:val="both"/>
        <w:rPr>
          <w:rFonts w:ascii="LUCRJS+TwCenMT-Bold" w:hAnsi="LUCRJS+TwCenMT-Bold" w:cs="LUCRJS+TwCenMT-Bold"/>
          <w:sz w:val="16"/>
          <w:szCs w:val="16"/>
        </w:rPr>
      </w:pPr>
      <w:bookmarkStart w:id="0" w:name="_GoBack"/>
      <w:proofErr w:type="spellStart"/>
      <w:r>
        <w:rPr>
          <w:rFonts w:ascii="LUCRJS+TwCenMT-Bold" w:hAnsi="LUCRJS+TwCenMT-Bold" w:cs="LUCRJS+TwCenMT-Bold"/>
          <w:b/>
          <w:bCs/>
          <w:sz w:val="16"/>
          <w:szCs w:val="16"/>
        </w:rPr>
        <w:t>Xiaoling</w:t>
      </w:r>
      <w:proofErr w:type="spellEnd"/>
      <w:r>
        <w:rPr>
          <w:rFonts w:ascii="LUCRJS+TwCenMT-Bold" w:hAnsi="LUCRJS+TwCenMT-Bold" w:cs="LUCRJS+TwCenMT-Bold"/>
          <w:b/>
          <w:bCs/>
          <w:sz w:val="16"/>
          <w:szCs w:val="16"/>
        </w:rPr>
        <w:t xml:space="preserve"> Li</w:t>
      </w:r>
      <w:bookmarkEnd w:id="0"/>
      <w:r>
        <w:rPr>
          <w:rFonts w:ascii="LUCRJS+TwCenMT-Bold" w:hAnsi="LUCRJS+TwCenMT-Bold" w:cs="LUCRJS+TwCenMT-Bold"/>
          <w:b/>
          <w:bCs/>
          <w:sz w:val="16"/>
          <w:szCs w:val="16"/>
        </w:rPr>
        <w:t xml:space="preserve">, </w:t>
      </w:r>
      <w:proofErr w:type="spellStart"/>
      <w:r>
        <w:rPr>
          <w:rFonts w:ascii="LUCRJS+TwCenMT-Bold" w:hAnsi="LUCRJS+TwCenMT-Bold" w:cs="LUCRJS+TwCenMT-Bold"/>
          <w:b/>
          <w:bCs/>
          <w:sz w:val="16"/>
          <w:szCs w:val="16"/>
        </w:rPr>
        <w:t>Yukang</w:t>
      </w:r>
      <w:proofErr w:type="spellEnd"/>
      <w:r>
        <w:rPr>
          <w:rFonts w:ascii="LUCRJS+TwCenMT-Bold" w:hAnsi="LUCRJS+TwCenMT-Bold" w:cs="LUCRJS+TwCenMT-Bold"/>
          <w:b/>
          <w:bCs/>
          <w:sz w:val="16"/>
          <w:szCs w:val="16"/>
        </w:rPr>
        <w:t xml:space="preserve"> Tan, Yang Yu, </w:t>
      </w:r>
      <w:proofErr w:type="spellStart"/>
      <w:r>
        <w:rPr>
          <w:rFonts w:ascii="LUCRJS+TwCenMT-Bold" w:hAnsi="LUCRJS+TwCenMT-Bold" w:cs="LUCRJS+TwCenMT-Bold"/>
          <w:b/>
          <w:bCs/>
          <w:sz w:val="16"/>
          <w:szCs w:val="16"/>
        </w:rPr>
        <w:t>Chaohua</w:t>
      </w:r>
      <w:proofErr w:type="spellEnd"/>
      <w:r>
        <w:rPr>
          <w:rFonts w:ascii="LUCRJS+TwCenMT-Bold" w:hAnsi="LUCRJS+TwCenMT-Bold" w:cs="LUCRJS+TwCenMT-Bold"/>
          <w:b/>
          <w:bCs/>
          <w:sz w:val="16"/>
          <w:szCs w:val="16"/>
        </w:rPr>
        <w:t xml:space="preserve"> Tang, </w:t>
      </w:r>
      <w:proofErr w:type="spellStart"/>
      <w:r>
        <w:rPr>
          <w:rFonts w:ascii="LUCRJS+TwCenMT-Bold" w:hAnsi="LUCRJS+TwCenMT-Bold" w:cs="LUCRJS+TwCenMT-Bold"/>
          <w:b/>
          <w:bCs/>
          <w:sz w:val="16"/>
          <w:szCs w:val="16"/>
        </w:rPr>
        <w:t>Guohong</w:t>
      </w:r>
      <w:proofErr w:type="spellEnd"/>
      <w:r>
        <w:rPr>
          <w:rFonts w:ascii="LUCRJS+TwCenMT-Bold" w:hAnsi="LUCRJS+TwCenMT-Bold" w:cs="LUCRJS+TwCenMT-Bold"/>
          <w:b/>
          <w:bCs/>
          <w:sz w:val="16"/>
          <w:szCs w:val="16"/>
        </w:rPr>
        <w:t xml:space="preserve"> </w:t>
      </w:r>
      <w:proofErr w:type="spellStart"/>
      <w:r>
        <w:rPr>
          <w:rFonts w:ascii="LUCRJS+TwCenMT-Bold" w:hAnsi="LUCRJS+TwCenMT-Bold" w:cs="LUCRJS+TwCenMT-Bold"/>
          <w:b/>
          <w:bCs/>
          <w:sz w:val="16"/>
          <w:szCs w:val="16"/>
        </w:rPr>
        <w:t>Xu</w:t>
      </w:r>
      <w:proofErr w:type="spellEnd"/>
      <w:r>
        <w:rPr>
          <w:rFonts w:ascii="LUCRJS+TwCenMT-Bold" w:hAnsi="LUCRJS+TwCenMT-Bold" w:cs="LUCRJS+TwCenMT-Bold"/>
          <w:b/>
          <w:bCs/>
          <w:sz w:val="16"/>
          <w:szCs w:val="16"/>
        </w:rPr>
        <w:t xml:space="preserve">, </w:t>
      </w:r>
      <w:proofErr w:type="spellStart"/>
      <w:r>
        <w:rPr>
          <w:rFonts w:ascii="LUCRJS+TwCenMT-Bold" w:hAnsi="LUCRJS+TwCenMT-Bold" w:cs="LUCRJS+TwCenMT-Bold"/>
          <w:b/>
          <w:bCs/>
          <w:sz w:val="16"/>
          <w:szCs w:val="16"/>
        </w:rPr>
        <w:t>Xinglian</w:t>
      </w:r>
      <w:proofErr w:type="spellEnd"/>
      <w:r>
        <w:rPr>
          <w:rFonts w:ascii="LUCRJS+TwCenMT-Bold" w:hAnsi="LUCRJS+TwCenMT-Bold" w:cs="LUCRJS+TwCenMT-Bold"/>
          <w:b/>
          <w:bCs/>
          <w:sz w:val="16"/>
          <w:szCs w:val="16"/>
        </w:rPr>
        <w:t xml:space="preserve"> Zhang, </w:t>
      </w:r>
      <w:proofErr w:type="spellStart"/>
      <w:r>
        <w:rPr>
          <w:rFonts w:ascii="LUCRJS+TwCenMT-Bold" w:hAnsi="LUCRJS+TwCenMT-Bold" w:cs="LUCRJS+TwCenMT-Bold"/>
          <w:b/>
          <w:bCs/>
          <w:sz w:val="16"/>
          <w:szCs w:val="16"/>
        </w:rPr>
        <w:t>Xiancong</w:t>
      </w:r>
      <w:proofErr w:type="spellEnd"/>
      <w:r>
        <w:rPr>
          <w:rFonts w:ascii="LUCRJS+TwCenMT-Bold" w:hAnsi="LUCRJS+TwCenMT-Bold" w:cs="LUCRJS+TwCenMT-Bold"/>
          <w:b/>
          <w:bCs/>
          <w:sz w:val="16"/>
          <w:szCs w:val="16"/>
        </w:rPr>
        <w:t xml:space="preserve"> Mai, </w:t>
      </w:r>
      <w:proofErr w:type="spellStart"/>
      <w:r>
        <w:rPr>
          <w:rFonts w:ascii="LUCRJS+TwCenMT-Bold" w:hAnsi="LUCRJS+TwCenMT-Bold" w:cs="LUCRJS+TwCenMT-Bold"/>
          <w:b/>
          <w:bCs/>
          <w:sz w:val="16"/>
          <w:szCs w:val="16"/>
        </w:rPr>
        <w:t>Caixia</w:t>
      </w:r>
      <w:proofErr w:type="spellEnd"/>
      <w:r>
        <w:rPr>
          <w:rFonts w:ascii="LUCRJS+TwCenMT-Bold" w:hAnsi="LUCRJS+TwCenMT-Bold" w:cs="LUCRJS+TwCenMT-Bold"/>
          <w:b/>
          <w:bCs/>
          <w:sz w:val="16"/>
          <w:szCs w:val="16"/>
        </w:rPr>
        <w:t xml:space="preserve"> </w:t>
      </w:r>
      <w:proofErr w:type="spellStart"/>
      <w:r>
        <w:rPr>
          <w:rFonts w:ascii="LUCRJS+TwCenMT-Bold" w:hAnsi="LUCRJS+TwCenMT-Bold" w:cs="LUCRJS+TwCenMT-Bold"/>
          <w:b/>
          <w:bCs/>
          <w:sz w:val="16"/>
          <w:szCs w:val="16"/>
        </w:rPr>
        <w:t>Xu</w:t>
      </w:r>
      <w:proofErr w:type="spellEnd"/>
      <w:r>
        <w:rPr>
          <w:rFonts w:ascii="LUCRJS+TwCenMT-Bold" w:hAnsi="LUCRJS+TwCenMT-Bold" w:cs="LUCRJS+TwCenMT-Bold"/>
          <w:b/>
          <w:bCs/>
          <w:sz w:val="16"/>
          <w:szCs w:val="16"/>
        </w:rPr>
        <w:t xml:space="preserve">, </w:t>
      </w:r>
      <w:proofErr w:type="spellStart"/>
      <w:r>
        <w:rPr>
          <w:rFonts w:ascii="LUCRJS+TwCenMT-Bold" w:hAnsi="LUCRJS+TwCenMT-Bold" w:cs="LUCRJS+TwCenMT-Bold"/>
          <w:b/>
          <w:bCs/>
          <w:sz w:val="16"/>
          <w:szCs w:val="16"/>
        </w:rPr>
        <w:t>Guojun</w:t>
      </w:r>
      <w:proofErr w:type="spellEnd"/>
      <w:r>
        <w:rPr>
          <w:rFonts w:ascii="LUCRJS+TwCenMT-Bold" w:hAnsi="LUCRJS+TwCenMT-Bold" w:cs="LUCRJS+TwCenMT-Bold"/>
          <w:b/>
          <w:bCs/>
          <w:sz w:val="16"/>
          <w:szCs w:val="16"/>
        </w:rPr>
        <w:t xml:space="preserve"> </w:t>
      </w:r>
      <w:proofErr w:type="spellStart"/>
      <w:r>
        <w:rPr>
          <w:rFonts w:ascii="LUCRJS+TwCenMT-Bold" w:hAnsi="LUCRJS+TwCenMT-Bold" w:cs="LUCRJS+TwCenMT-Bold"/>
          <w:b/>
          <w:bCs/>
          <w:sz w:val="16"/>
          <w:szCs w:val="16"/>
        </w:rPr>
        <w:t>Xie</w:t>
      </w:r>
      <w:proofErr w:type="spellEnd"/>
      <w:r>
        <w:rPr>
          <w:rFonts w:ascii="LUCRJS+TwCenMT-Bold" w:hAnsi="LUCRJS+TwCenMT-Bold" w:cs="LUCRJS+TwCenMT-Bold"/>
          <w:b/>
          <w:bCs/>
          <w:sz w:val="16"/>
          <w:szCs w:val="16"/>
        </w:rPr>
        <w:t xml:space="preserve"> </w:t>
      </w:r>
      <w:r>
        <w:rPr>
          <w:rFonts w:ascii="Tw Cen MT" w:hAnsi="Tw Cen MT" w:cs="Tw Cen MT"/>
          <w:sz w:val="16"/>
          <w:szCs w:val="16"/>
        </w:rPr>
        <w:t xml:space="preserve">and </w:t>
      </w:r>
      <w:proofErr w:type="spellStart"/>
      <w:r>
        <w:rPr>
          <w:rFonts w:ascii="LUCRJS+TwCenMT-Bold" w:hAnsi="LUCRJS+TwCenMT-Bold" w:cs="LUCRJS+TwCenMT-Bold"/>
          <w:b/>
          <w:bCs/>
          <w:sz w:val="16"/>
          <w:szCs w:val="16"/>
        </w:rPr>
        <w:t>Jiaquan</w:t>
      </w:r>
      <w:proofErr w:type="spellEnd"/>
      <w:r>
        <w:rPr>
          <w:rFonts w:ascii="LUCRJS+TwCenMT-Bold" w:hAnsi="LUCRJS+TwCenMT-Bold" w:cs="LUCRJS+TwCenMT-Bold"/>
          <w:b/>
          <w:bCs/>
          <w:sz w:val="16"/>
          <w:szCs w:val="16"/>
        </w:rPr>
        <w:t xml:space="preserve"> Liang </w:t>
      </w:r>
    </w:p>
    <w:p w:rsidR="00351B98" w:rsidRDefault="00351B98" w:rsidP="00351B98">
      <w:pPr>
        <w:pStyle w:val="Pa10"/>
        <w:spacing w:after="280"/>
        <w:rPr>
          <w:rFonts w:ascii="Tw Cen MT" w:hAnsi="Tw Cen MT" w:cs="Tw Cen MT"/>
          <w:sz w:val="16"/>
          <w:szCs w:val="16"/>
        </w:rPr>
      </w:pPr>
      <w:r>
        <w:rPr>
          <w:rFonts w:ascii="Tw Cen MT" w:hAnsi="Tw Cen MT" w:cs="Tw Cen MT"/>
          <w:sz w:val="16"/>
          <w:szCs w:val="16"/>
        </w:rPr>
        <w:t xml:space="preserve">Department of Psychiatry, The Third People’s Hospital of </w:t>
      </w:r>
      <w:proofErr w:type="spellStart"/>
      <w:r>
        <w:rPr>
          <w:rFonts w:ascii="Tw Cen MT" w:hAnsi="Tw Cen MT" w:cs="Tw Cen MT"/>
          <w:sz w:val="16"/>
          <w:szCs w:val="16"/>
        </w:rPr>
        <w:t>Foshan</w:t>
      </w:r>
      <w:proofErr w:type="spellEnd"/>
      <w:r>
        <w:rPr>
          <w:rFonts w:ascii="Tw Cen MT" w:hAnsi="Tw Cen MT" w:cs="Tw Cen MT"/>
          <w:sz w:val="16"/>
          <w:szCs w:val="16"/>
        </w:rPr>
        <w:t xml:space="preserve">, Guangdong, People’s Republic of China </w:t>
      </w:r>
    </w:p>
    <w:p w:rsidR="00351B98" w:rsidRDefault="00351B98" w:rsidP="00351B98">
      <w:pPr>
        <w:pStyle w:val="Pa11"/>
        <w:spacing w:after="140"/>
        <w:jc w:val="both"/>
        <w:rPr>
          <w:rFonts w:ascii="Minion Pro" w:hAnsi="Minion Pro" w:cs="Minion Pro"/>
          <w:sz w:val="20"/>
          <w:szCs w:val="20"/>
        </w:rPr>
      </w:pPr>
      <w:r>
        <w:rPr>
          <w:rFonts w:ascii="Minion Pro" w:hAnsi="Minion Pro" w:cs="Minion Pro"/>
          <w:b/>
          <w:bCs/>
          <w:sz w:val="20"/>
          <w:szCs w:val="20"/>
        </w:rPr>
        <w:t>Background</w:t>
      </w:r>
      <w:r>
        <w:rPr>
          <w:rFonts w:ascii="Minion Pro" w:hAnsi="Minion Pro" w:cs="Minion Pro"/>
          <w:sz w:val="20"/>
          <w:szCs w:val="20"/>
        </w:rPr>
        <w:t xml:space="preserve">: Obesity is a serious worldwide public health problem, especially for people with mental disorders. </w:t>
      </w:r>
    </w:p>
    <w:p w:rsidR="00351B98" w:rsidRDefault="00351B98" w:rsidP="00351B98">
      <w:pPr>
        <w:pStyle w:val="Pa11"/>
        <w:spacing w:after="140"/>
        <w:jc w:val="both"/>
        <w:rPr>
          <w:rFonts w:ascii="Minion Pro" w:hAnsi="Minion Pro" w:cs="Minion Pro"/>
          <w:sz w:val="20"/>
          <w:szCs w:val="20"/>
        </w:rPr>
      </w:pPr>
      <w:r>
        <w:rPr>
          <w:rFonts w:ascii="Minion Pro" w:hAnsi="Minion Pro" w:cs="Minion Pro"/>
          <w:b/>
          <w:bCs/>
          <w:sz w:val="20"/>
          <w:szCs w:val="20"/>
        </w:rPr>
        <w:t>Aim</w:t>
      </w:r>
      <w:r>
        <w:rPr>
          <w:rFonts w:ascii="Minion Pro" w:hAnsi="Minion Pro" w:cs="Minion Pro"/>
          <w:sz w:val="20"/>
          <w:szCs w:val="20"/>
        </w:rPr>
        <w:t xml:space="preserve">: To explore the related factors of obesity by </w:t>
      </w:r>
      <w:proofErr w:type="spellStart"/>
      <w:r>
        <w:rPr>
          <w:rFonts w:ascii="Minion Pro" w:hAnsi="Minion Pro" w:cs="Minion Pro"/>
          <w:sz w:val="20"/>
          <w:szCs w:val="20"/>
        </w:rPr>
        <w:t>analyzing</w:t>
      </w:r>
      <w:proofErr w:type="spellEnd"/>
      <w:r>
        <w:rPr>
          <w:rFonts w:ascii="Minion Pro" w:hAnsi="Minion Pro" w:cs="Minion Pro"/>
          <w:sz w:val="20"/>
          <w:szCs w:val="20"/>
        </w:rPr>
        <w:t xml:space="preserve"> the metabolic indexes of patients with common mental disorders in stable stage. </w:t>
      </w:r>
    </w:p>
    <w:p w:rsidR="00351B98" w:rsidRDefault="00351B98" w:rsidP="00351B98">
      <w:pPr>
        <w:pStyle w:val="Pa11"/>
        <w:spacing w:after="140"/>
        <w:jc w:val="both"/>
        <w:rPr>
          <w:rFonts w:ascii="Minion Pro" w:hAnsi="Minion Pro" w:cs="Minion Pro"/>
          <w:sz w:val="20"/>
          <w:szCs w:val="20"/>
        </w:rPr>
      </w:pPr>
      <w:r>
        <w:rPr>
          <w:rFonts w:ascii="Minion Pro" w:hAnsi="Minion Pro" w:cs="Minion Pro"/>
          <w:b/>
          <w:bCs/>
          <w:sz w:val="20"/>
          <w:szCs w:val="20"/>
        </w:rPr>
        <w:t>Methods</w:t>
      </w:r>
      <w:r>
        <w:rPr>
          <w:rFonts w:ascii="Minion Pro" w:hAnsi="Minion Pro" w:cs="Minion Pro"/>
          <w:sz w:val="20"/>
          <w:szCs w:val="20"/>
        </w:rPr>
        <w:t xml:space="preserve">: Five hundred seventy-six subjects with major depressive disorder (MDD), bipolar disorder (BD) or schizophrenia (SCZ) were included, who received </w:t>
      </w:r>
      <w:proofErr w:type="spellStart"/>
      <w:r>
        <w:rPr>
          <w:rFonts w:ascii="Minion Pro" w:hAnsi="Minion Pro" w:cs="Minion Pro"/>
          <w:sz w:val="20"/>
          <w:szCs w:val="20"/>
        </w:rPr>
        <w:t>fxed</w:t>
      </w:r>
      <w:proofErr w:type="spellEnd"/>
      <w:r>
        <w:rPr>
          <w:rFonts w:ascii="Minion Pro" w:hAnsi="Minion Pro" w:cs="Minion Pro"/>
          <w:sz w:val="20"/>
          <w:szCs w:val="20"/>
        </w:rPr>
        <w:t xml:space="preserve"> drug dose and routine drug treatment for 2 years or more. Their venous blood was collected, and the blood metabolic indexes were </w:t>
      </w:r>
      <w:proofErr w:type="spellStart"/>
      <w:r>
        <w:rPr>
          <w:rFonts w:ascii="Minion Pro" w:hAnsi="Minion Pro" w:cs="Minion Pro"/>
          <w:sz w:val="20"/>
          <w:szCs w:val="20"/>
        </w:rPr>
        <w:t>analyzed</w:t>
      </w:r>
      <w:proofErr w:type="spellEnd"/>
      <w:r>
        <w:rPr>
          <w:rFonts w:ascii="Minion Pro" w:hAnsi="Minion Pro" w:cs="Minion Pro"/>
          <w:sz w:val="20"/>
          <w:szCs w:val="20"/>
        </w:rPr>
        <w:t xml:space="preserve">. </w:t>
      </w:r>
    </w:p>
    <w:p w:rsidR="00351B98" w:rsidRDefault="00351B98" w:rsidP="00351B98">
      <w:pPr>
        <w:pStyle w:val="Pa11"/>
        <w:spacing w:after="140"/>
        <w:jc w:val="both"/>
        <w:rPr>
          <w:rFonts w:ascii="Minion Pro" w:hAnsi="Minion Pro" w:cs="Minion Pro"/>
          <w:sz w:val="20"/>
          <w:szCs w:val="20"/>
        </w:rPr>
      </w:pPr>
      <w:r>
        <w:rPr>
          <w:rFonts w:ascii="Minion Pro" w:hAnsi="Minion Pro" w:cs="Minion Pro"/>
          <w:b/>
          <w:bCs/>
          <w:sz w:val="20"/>
          <w:szCs w:val="20"/>
        </w:rPr>
        <w:t>Results</w:t>
      </w:r>
      <w:r>
        <w:rPr>
          <w:rFonts w:ascii="Minion Pro" w:hAnsi="Minion Pro" w:cs="Minion Pro"/>
          <w:sz w:val="20"/>
          <w:szCs w:val="20"/>
        </w:rPr>
        <w:t xml:space="preserve">: BD and SCZ are more prone to obesity than MDD. Multiple linear regression analysis showed that the value of BMI increased with the increase of </w:t>
      </w:r>
      <w:proofErr w:type="gramStart"/>
      <w:r>
        <w:rPr>
          <w:rFonts w:ascii="Minion Pro" w:hAnsi="Minion Pro" w:cs="Minion Pro"/>
          <w:sz w:val="20"/>
          <w:szCs w:val="20"/>
        </w:rPr>
        <w:t>age(</w:t>
      </w:r>
      <w:proofErr w:type="gramEnd"/>
      <w:r>
        <w:rPr>
          <w:rFonts w:ascii="Minion Pro" w:hAnsi="Minion Pro" w:cs="Minion Pro"/>
          <w:sz w:val="20"/>
          <w:szCs w:val="20"/>
        </w:rPr>
        <w:t xml:space="preserve">B=0.084, p&lt;0.001), TG(B=0.355, p=0.024), LDL(B=0.697, p&lt;0.001), LDH(B= </w:t>
      </w:r>
    </w:p>
    <w:p w:rsidR="00351B98" w:rsidRDefault="00351B98" w:rsidP="00351B98">
      <w:pPr>
        <w:pStyle w:val="Pa11"/>
        <w:spacing w:after="140"/>
        <w:jc w:val="both"/>
        <w:rPr>
          <w:rFonts w:ascii="Minion Pro" w:hAnsi="Minion Pro" w:cs="Minion Pro"/>
          <w:sz w:val="20"/>
          <w:szCs w:val="20"/>
        </w:rPr>
      </w:pPr>
      <w:r>
        <w:rPr>
          <w:rFonts w:ascii="Minion Pro" w:hAnsi="Minion Pro" w:cs="Minion Pro"/>
          <w:sz w:val="20"/>
          <w:szCs w:val="20"/>
        </w:rPr>
        <w:t xml:space="preserve">0.011, p=0.002), </w:t>
      </w:r>
      <w:proofErr w:type="spellStart"/>
      <w:proofErr w:type="gramStart"/>
      <w:r>
        <w:rPr>
          <w:rFonts w:ascii="Minion Pro" w:hAnsi="Minion Pro" w:cs="Minion Pro"/>
          <w:sz w:val="20"/>
          <w:szCs w:val="20"/>
        </w:rPr>
        <w:t>SCr</w:t>
      </w:r>
      <w:proofErr w:type="spellEnd"/>
      <w:r>
        <w:rPr>
          <w:rFonts w:ascii="Minion Pro" w:hAnsi="Minion Pro" w:cs="Minion Pro"/>
          <w:sz w:val="20"/>
          <w:szCs w:val="20"/>
        </w:rPr>
        <w:t>(</w:t>
      </w:r>
      <w:proofErr w:type="gramEnd"/>
      <w:r>
        <w:rPr>
          <w:rFonts w:ascii="Minion Pro" w:hAnsi="Minion Pro" w:cs="Minion Pro"/>
          <w:sz w:val="20"/>
          <w:szCs w:val="20"/>
        </w:rPr>
        <w:t xml:space="preserve">B=0.051, p&lt;0.001), UA(B=0.014, p&lt;0.001), HbA1c(B </w:t>
      </w:r>
    </w:p>
    <w:p w:rsidR="00351B98" w:rsidRDefault="00351B98" w:rsidP="00351B98">
      <w:pPr>
        <w:pStyle w:val="Pa11"/>
        <w:spacing w:after="140"/>
        <w:jc w:val="both"/>
        <w:rPr>
          <w:rFonts w:ascii="Minion Pro" w:hAnsi="Minion Pro" w:cs="Minion Pro"/>
          <w:sz w:val="20"/>
          <w:szCs w:val="20"/>
        </w:rPr>
      </w:pPr>
      <w:r>
        <w:rPr>
          <w:rFonts w:ascii="Minion Pro" w:hAnsi="Minion Pro" w:cs="Minion Pro"/>
          <w:sz w:val="20"/>
          <w:szCs w:val="20"/>
        </w:rPr>
        <w:t xml:space="preserve">=0.702, p=0.004) and </w:t>
      </w:r>
      <w:proofErr w:type="spellStart"/>
      <w:proofErr w:type="gramStart"/>
      <w:r>
        <w:rPr>
          <w:rFonts w:ascii="Minion Pro" w:hAnsi="Minion Pro" w:cs="Minion Pro"/>
          <w:sz w:val="20"/>
          <w:szCs w:val="20"/>
        </w:rPr>
        <w:t>hsCRP</w:t>
      </w:r>
      <w:proofErr w:type="spellEnd"/>
      <w:r>
        <w:rPr>
          <w:rFonts w:ascii="Minion Pro" w:hAnsi="Minion Pro" w:cs="Minion Pro"/>
          <w:sz w:val="20"/>
          <w:szCs w:val="20"/>
        </w:rPr>
        <w:t>(</w:t>
      </w:r>
      <w:proofErr w:type="gramEnd"/>
      <w:r>
        <w:rPr>
          <w:rFonts w:ascii="Minion Pro" w:hAnsi="Minion Pro" w:cs="Minion Pro"/>
          <w:sz w:val="20"/>
          <w:szCs w:val="20"/>
        </w:rPr>
        <w:t xml:space="preserve">B=0.101, p&lt;0.001). And It decreased with the increase of </w:t>
      </w:r>
      <w:proofErr w:type="gramStart"/>
      <w:r>
        <w:rPr>
          <w:rFonts w:ascii="Minion Pro" w:hAnsi="Minion Pro" w:cs="Minion Pro"/>
          <w:sz w:val="20"/>
          <w:szCs w:val="20"/>
        </w:rPr>
        <w:t>HDL(</w:t>
      </w:r>
      <w:proofErr w:type="gramEnd"/>
      <w:r>
        <w:rPr>
          <w:rFonts w:ascii="Minion Pro" w:hAnsi="Minion Pro" w:cs="Minion Pro"/>
          <w:sz w:val="20"/>
          <w:szCs w:val="20"/>
        </w:rPr>
        <w:t xml:space="preserve">B=-1.493, p&lt;0.001). </w:t>
      </w:r>
    </w:p>
    <w:p w:rsidR="007C0B72" w:rsidRDefault="00351B98" w:rsidP="00351B98">
      <w:r>
        <w:rPr>
          <w:rFonts w:ascii="Minion Pro" w:hAnsi="Minion Pro" w:cs="Minion Pro"/>
          <w:b/>
          <w:bCs/>
          <w:sz w:val="20"/>
          <w:szCs w:val="20"/>
        </w:rPr>
        <w:t>Discussion</w:t>
      </w:r>
      <w:r>
        <w:rPr>
          <w:rFonts w:ascii="Minion Pro" w:hAnsi="Minion Pro" w:cs="Minion Pro"/>
          <w:sz w:val="20"/>
          <w:szCs w:val="20"/>
        </w:rPr>
        <w:t>: People with mental disorders should regularly check blood indicators and strengthen weight management to reduce the risk of obesity and promote their health.</w:t>
      </w:r>
    </w:p>
    <w:sectPr w:rsidR="007C0B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RJS+TwCenMT-Bold">
    <w:altName w:val="LUCRJS+TwCenM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872653"/>
    <w:rsid w:val="00351B98"/>
    <w:rsid w:val="007C0B72"/>
    <w:rsid w:val="2A87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51B9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351B98"/>
    <w:pPr>
      <w:spacing w:line="241" w:lineRule="atLeast"/>
    </w:pPr>
    <w:rPr>
      <w:color w:val="auto"/>
    </w:rPr>
  </w:style>
  <w:style w:type="paragraph" w:customStyle="1" w:styleId="Pa9">
    <w:name w:val="Pa9"/>
    <w:basedOn w:val="Default"/>
    <w:next w:val="Default"/>
    <w:uiPriority w:val="99"/>
    <w:rsid w:val="00351B98"/>
    <w:pPr>
      <w:spacing w:line="161" w:lineRule="atLeast"/>
    </w:pPr>
    <w:rPr>
      <w:color w:val="auto"/>
    </w:rPr>
  </w:style>
  <w:style w:type="paragraph" w:customStyle="1" w:styleId="Pa10">
    <w:name w:val="Pa10"/>
    <w:basedOn w:val="Default"/>
    <w:next w:val="Default"/>
    <w:uiPriority w:val="99"/>
    <w:rsid w:val="00351B98"/>
    <w:pPr>
      <w:spacing w:line="161" w:lineRule="atLeast"/>
    </w:pPr>
    <w:rPr>
      <w:color w:val="auto"/>
    </w:rPr>
  </w:style>
  <w:style w:type="paragraph" w:customStyle="1" w:styleId="Pa11">
    <w:name w:val="Pa11"/>
    <w:basedOn w:val="Default"/>
    <w:next w:val="Default"/>
    <w:uiPriority w:val="99"/>
    <w:rsid w:val="00351B98"/>
    <w:pPr>
      <w:spacing w:line="201" w:lineRule="atLeast"/>
    </w:pPr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51B9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351B98"/>
    <w:pPr>
      <w:spacing w:line="241" w:lineRule="atLeast"/>
    </w:pPr>
    <w:rPr>
      <w:color w:val="auto"/>
    </w:rPr>
  </w:style>
  <w:style w:type="paragraph" w:customStyle="1" w:styleId="Pa9">
    <w:name w:val="Pa9"/>
    <w:basedOn w:val="Default"/>
    <w:next w:val="Default"/>
    <w:uiPriority w:val="99"/>
    <w:rsid w:val="00351B98"/>
    <w:pPr>
      <w:spacing w:line="161" w:lineRule="atLeast"/>
    </w:pPr>
    <w:rPr>
      <w:color w:val="auto"/>
    </w:rPr>
  </w:style>
  <w:style w:type="paragraph" w:customStyle="1" w:styleId="Pa10">
    <w:name w:val="Pa10"/>
    <w:basedOn w:val="Default"/>
    <w:next w:val="Default"/>
    <w:uiPriority w:val="99"/>
    <w:rsid w:val="00351B98"/>
    <w:pPr>
      <w:spacing w:line="161" w:lineRule="atLeast"/>
    </w:pPr>
    <w:rPr>
      <w:color w:val="auto"/>
    </w:rPr>
  </w:style>
  <w:style w:type="paragraph" w:customStyle="1" w:styleId="Pa11">
    <w:name w:val="Pa11"/>
    <w:basedOn w:val="Default"/>
    <w:next w:val="Default"/>
    <w:uiPriority w:val="99"/>
    <w:rsid w:val="00351B98"/>
    <w:pPr>
      <w:spacing w:line="201" w:lineRule="atLeast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梁嘉权</dc:creator>
  <cp:lastModifiedBy>Applied Microbiology 2018</cp:lastModifiedBy>
  <cp:revision>2</cp:revision>
  <dcterms:created xsi:type="dcterms:W3CDTF">2022-05-26T07:07:00Z</dcterms:created>
  <dcterms:modified xsi:type="dcterms:W3CDTF">2022-05-26T07:07:00Z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0B878A01357C47618098BC6E7A6C8DB8</vt:lpwstr>
  </property>
</Properties>
</file>