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2BC" w:rsidRDefault="001C72BC" w:rsidP="001C72BC">
      <w:pPr>
        <w:spacing w:before="23" w:line="248" w:lineRule="auto"/>
        <w:ind w:left="637" w:right="486"/>
        <w:jc w:val="both"/>
        <w:rPr>
          <w:b/>
          <w:color w:val="001F5F"/>
          <w:w w:val="99"/>
          <w:sz w:val="28"/>
          <w:szCs w:val="28"/>
        </w:rPr>
      </w:pPr>
      <w:r>
        <w:rPr>
          <w:b/>
          <w:color w:val="001F5F"/>
          <w:w w:val="99"/>
          <w:sz w:val="28"/>
          <w:szCs w:val="28"/>
        </w:rPr>
        <w:t>Cyst-like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color w:val="001F5F"/>
          <w:w w:val="99"/>
          <w:sz w:val="28"/>
          <w:szCs w:val="28"/>
        </w:rPr>
        <w:t>Structures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color w:val="001F5F"/>
          <w:w w:val="99"/>
          <w:sz w:val="28"/>
          <w:szCs w:val="28"/>
        </w:rPr>
        <w:t>in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color w:val="001F5F"/>
          <w:w w:val="99"/>
          <w:sz w:val="28"/>
          <w:szCs w:val="28"/>
        </w:rPr>
        <w:t>the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color w:val="001F5F"/>
          <w:w w:val="99"/>
          <w:sz w:val="28"/>
          <w:szCs w:val="28"/>
        </w:rPr>
        <w:t>life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color w:val="001F5F"/>
          <w:w w:val="99"/>
          <w:sz w:val="28"/>
          <w:szCs w:val="28"/>
        </w:rPr>
        <w:t>cycle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color w:val="001F5F"/>
          <w:w w:val="99"/>
          <w:sz w:val="28"/>
          <w:szCs w:val="28"/>
        </w:rPr>
        <w:t>of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i/>
          <w:color w:val="001F5F"/>
          <w:w w:val="99"/>
          <w:sz w:val="28"/>
          <w:szCs w:val="28"/>
        </w:rPr>
        <w:t>Trichomonas</w:t>
      </w:r>
      <w:r>
        <w:rPr>
          <w:b/>
          <w:i/>
          <w:color w:val="001F5F"/>
          <w:sz w:val="28"/>
          <w:szCs w:val="28"/>
        </w:rPr>
        <w:t xml:space="preserve"> </w:t>
      </w:r>
      <w:r>
        <w:rPr>
          <w:b/>
          <w:i/>
          <w:color w:val="001F5F"/>
          <w:w w:val="99"/>
          <w:sz w:val="28"/>
          <w:szCs w:val="28"/>
        </w:rPr>
        <w:t>vaginalis</w:t>
      </w:r>
      <w:r>
        <w:rPr>
          <w:b/>
          <w:color w:val="001F5F"/>
          <w:w w:val="99"/>
          <w:sz w:val="28"/>
          <w:szCs w:val="28"/>
        </w:rPr>
        <w:t>: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color w:val="001F5F"/>
          <w:w w:val="99"/>
          <w:sz w:val="28"/>
          <w:szCs w:val="28"/>
        </w:rPr>
        <w:t>A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color w:val="001F5F"/>
          <w:w w:val="99"/>
          <w:sz w:val="28"/>
          <w:szCs w:val="28"/>
        </w:rPr>
        <w:t>possible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color w:val="001F5F"/>
          <w:w w:val="99"/>
          <w:sz w:val="28"/>
          <w:szCs w:val="28"/>
        </w:rPr>
        <w:t>non-sexual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color w:val="001F5F"/>
          <w:w w:val="99"/>
          <w:sz w:val="28"/>
          <w:szCs w:val="28"/>
        </w:rPr>
        <w:t>mode of</w:t>
      </w:r>
      <w:r>
        <w:rPr>
          <w:b/>
          <w:color w:val="001F5F"/>
          <w:sz w:val="28"/>
          <w:szCs w:val="28"/>
        </w:rPr>
        <w:t xml:space="preserve"> </w:t>
      </w:r>
      <w:r>
        <w:rPr>
          <w:b/>
          <w:color w:val="001F5F"/>
          <w:w w:val="99"/>
          <w:sz w:val="28"/>
          <w:szCs w:val="28"/>
        </w:rPr>
        <w:t>transmission</w:t>
      </w:r>
    </w:p>
    <w:p w:rsidR="001C72BC" w:rsidRDefault="001C72BC" w:rsidP="001C72BC">
      <w:pPr>
        <w:ind w:left="637"/>
        <w:jc w:val="both"/>
        <w:rPr>
          <w:sz w:val="24"/>
          <w:szCs w:val="24"/>
        </w:rPr>
      </w:pPr>
      <w:proofErr w:type="spellStart"/>
      <w:r>
        <w:rPr>
          <w:b/>
          <w:color w:val="211F1F"/>
          <w:sz w:val="24"/>
          <w:szCs w:val="24"/>
        </w:rPr>
        <w:t>Priya</w:t>
      </w:r>
      <w:proofErr w:type="spellEnd"/>
      <w:r>
        <w:rPr>
          <w:b/>
          <w:color w:val="211F1F"/>
          <w:sz w:val="24"/>
          <w:szCs w:val="24"/>
        </w:rPr>
        <w:t xml:space="preserve"> Yadav</w:t>
      </w:r>
    </w:p>
    <w:p w:rsidR="001C72BC" w:rsidRDefault="001C72BC" w:rsidP="001C72BC">
      <w:pPr>
        <w:spacing w:before="12" w:line="260" w:lineRule="exact"/>
        <w:ind w:left="637"/>
        <w:jc w:val="both"/>
        <w:rPr>
          <w:sz w:val="24"/>
          <w:szCs w:val="24"/>
        </w:rPr>
      </w:pPr>
      <w:r>
        <w:rPr>
          <w:b/>
          <w:color w:val="211F1F"/>
          <w:position w:val="-1"/>
          <w:sz w:val="24"/>
          <w:szCs w:val="24"/>
        </w:rPr>
        <w:t>Indian Institute of Science, India</w:t>
      </w:r>
    </w:p>
    <w:p w:rsidR="001C72BC" w:rsidRDefault="001C72BC" w:rsidP="001C72BC">
      <w:pPr>
        <w:spacing w:before="23" w:line="248" w:lineRule="auto"/>
        <w:ind w:left="637" w:right="486"/>
        <w:jc w:val="both"/>
        <w:rPr>
          <w:sz w:val="28"/>
          <w:szCs w:val="28"/>
        </w:rPr>
      </w:pPr>
    </w:p>
    <w:p w:rsidR="001C72BC" w:rsidRDefault="001C72BC" w:rsidP="001C72BC">
      <w:pPr>
        <w:spacing w:before="23" w:line="248" w:lineRule="auto"/>
        <w:ind w:left="637" w:right="486"/>
        <w:rPr>
          <w:sz w:val="28"/>
          <w:szCs w:val="28"/>
        </w:rPr>
      </w:pPr>
    </w:p>
    <w:p w:rsidR="001C72BC" w:rsidRDefault="001C72BC" w:rsidP="001C72BC">
      <w:pPr>
        <w:spacing w:before="29"/>
        <w:ind w:left="656"/>
        <w:rPr>
          <w:sz w:val="24"/>
          <w:szCs w:val="24"/>
        </w:rPr>
      </w:pPr>
      <w:r>
        <w:rPr>
          <w:b/>
          <w:color w:val="211F1F"/>
          <w:sz w:val="24"/>
          <w:szCs w:val="24"/>
        </w:rPr>
        <w:t>Abstract:</w:t>
      </w:r>
    </w:p>
    <w:p w:rsidR="001C72BC" w:rsidRDefault="001C72BC" w:rsidP="001C72BC">
      <w:pPr>
        <w:ind w:left="520" w:right="-41"/>
        <w:rPr>
          <w:sz w:val="24"/>
          <w:szCs w:val="24"/>
        </w:rPr>
      </w:pPr>
      <w:r>
        <w:rPr>
          <w:i/>
          <w:sz w:val="24"/>
          <w:szCs w:val="24"/>
        </w:rPr>
        <w:t xml:space="preserve">Trichomonas </w:t>
      </w:r>
      <w:proofErr w:type="gramStart"/>
      <w:r>
        <w:rPr>
          <w:i/>
          <w:sz w:val="24"/>
          <w:szCs w:val="24"/>
        </w:rPr>
        <w:t xml:space="preserve">vaginalis  </w:t>
      </w:r>
      <w:r>
        <w:rPr>
          <w:sz w:val="24"/>
          <w:szCs w:val="24"/>
        </w:rPr>
        <w:t>is</w:t>
      </w:r>
      <w:proofErr w:type="gramEnd"/>
      <w:r>
        <w:rPr>
          <w:sz w:val="24"/>
          <w:szCs w:val="24"/>
        </w:rPr>
        <w:t xml:space="preserve"> a  parasitic protozoan known to   cause   a   non-viral   sexually   transmitted   infection known as </w:t>
      </w:r>
      <w:proofErr w:type="spellStart"/>
      <w:r>
        <w:rPr>
          <w:sz w:val="24"/>
          <w:szCs w:val="24"/>
        </w:rPr>
        <w:t>Trichomoniasis</w:t>
      </w:r>
      <w:proofErr w:type="spellEnd"/>
      <w:r>
        <w:rPr>
          <w:sz w:val="24"/>
          <w:szCs w:val="24"/>
        </w:rPr>
        <w:t xml:space="preserve">. The infection encompasses a broad  range  of  symptoms  in  both  male  and  female patients  ranging  from  acute  inflammation,  premature labor,   low   birth-weight   of   infants,   vaginitis   and increased   susceptibility   to   life-threatening   Human immunodeficiency   Virus   (HIV)   infection,   cervical neoplasia  and  pelvic  inflammatory  disease.  Although </w:t>
      </w:r>
      <w:proofErr w:type="gramStart"/>
      <w:r>
        <w:rPr>
          <w:sz w:val="24"/>
          <w:szCs w:val="24"/>
        </w:rPr>
        <w:t>most  of</w:t>
      </w:r>
      <w:proofErr w:type="gramEnd"/>
      <w:r>
        <w:rPr>
          <w:sz w:val="24"/>
          <w:szCs w:val="24"/>
        </w:rPr>
        <w:t xml:space="preserve">  the  infected  patients  are  asymptomatic,  the annual incidences of </w:t>
      </w:r>
      <w:proofErr w:type="spellStart"/>
      <w:r>
        <w:rPr>
          <w:sz w:val="24"/>
          <w:szCs w:val="24"/>
        </w:rPr>
        <w:t>Trichomoniasis</w:t>
      </w:r>
      <w:proofErr w:type="spellEnd"/>
      <w:r>
        <w:rPr>
          <w:sz w:val="24"/>
          <w:szCs w:val="24"/>
        </w:rPr>
        <w:t xml:space="preserve"> are more than 170 million throughout the world.</w:t>
      </w:r>
    </w:p>
    <w:p w:rsidR="001C72BC" w:rsidRDefault="001C72BC" w:rsidP="001C72BC">
      <w:pPr>
        <w:ind w:left="520" w:right="-41"/>
        <w:rPr>
          <w:sz w:val="24"/>
          <w:szCs w:val="24"/>
        </w:rPr>
      </w:pPr>
      <w:r>
        <w:rPr>
          <w:sz w:val="24"/>
          <w:szCs w:val="24"/>
        </w:rPr>
        <w:t xml:space="preserve">Life   cycle   of   the   parasite   has   been   traditionally described as consisting of motile and symptom-causing </w:t>
      </w:r>
      <w:proofErr w:type="spellStart"/>
      <w:proofErr w:type="gramStart"/>
      <w:r>
        <w:rPr>
          <w:sz w:val="24"/>
          <w:szCs w:val="24"/>
        </w:rPr>
        <w:t>trophozoites</w:t>
      </w:r>
      <w:proofErr w:type="spellEnd"/>
      <w:r>
        <w:rPr>
          <w:sz w:val="24"/>
          <w:szCs w:val="24"/>
        </w:rPr>
        <w:t xml:space="preserve">  which</w:t>
      </w:r>
      <w:proofErr w:type="gramEnd"/>
      <w:r>
        <w:rPr>
          <w:sz w:val="24"/>
          <w:szCs w:val="24"/>
        </w:rPr>
        <w:t xml:space="preserve">  are  sexually  transmitted.  </w:t>
      </w:r>
      <w:proofErr w:type="gramStart"/>
      <w:r>
        <w:rPr>
          <w:sz w:val="24"/>
          <w:szCs w:val="24"/>
        </w:rPr>
        <w:t>In  our</w:t>
      </w:r>
      <w:proofErr w:type="gramEnd"/>
      <w:r>
        <w:rPr>
          <w:sz w:val="24"/>
          <w:szCs w:val="24"/>
        </w:rPr>
        <w:t xml:space="preserve"> current research, We show the formation of viable cyst- like  forms  in  stationary  phase  of  </w:t>
      </w:r>
      <w:r>
        <w:rPr>
          <w:i/>
          <w:sz w:val="24"/>
          <w:szCs w:val="24"/>
        </w:rPr>
        <w:t xml:space="preserve">T.  </w:t>
      </w:r>
      <w:proofErr w:type="gramStart"/>
      <w:r>
        <w:rPr>
          <w:i/>
          <w:sz w:val="24"/>
          <w:szCs w:val="24"/>
        </w:rPr>
        <w:t xml:space="preserve">vaginalis  </w:t>
      </w:r>
      <w:r>
        <w:rPr>
          <w:sz w:val="24"/>
          <w:szCs w:val="24"/>
        </w:rPr>
        <w:t>axenic</w:t>
      </w:r>
      <w:proofErr w:type="gramEnd"/>
      <w:r>
        <w:rPr>
          <w:sz w:val="24"/>
          <w:szCs w:val="24"/>
        </w:rPr>
        <w:t xml:space="preserve"> culture. Like cysts from other protozoan parasites like </w:t>
      </w:r>
      <w:r>
        <w:rPr>
          <w:i/>
          <w:sz w:val="24"/>
          <w:szCs w:val="24"/>
        </w:rPr>
        <w:t xml:space="preserve">Entamoeba    </w:t>
      </w:r>
      <w:proofErr w:type="spellStart"/>
      <w:r>
        <w:rPr>
          <w:i/>
          <w:sz w:val="24"/>
          <w:szCs w:val="24"/>
        </w:rPr>
        <w:t>histolytica</w:t>
      </w:r>
      <w:proofErr w:type="spellEnd"/>
      <w:r>
        <w:rPr>
          <w:i/>
          <w:sz w:val="24"/>
          <w:szCs w:val="24"/>
        </w:rPr>
        <w:t xml:space="preserve">    </w:t>
      </w:r>
      <w:r>
        <w:rPr>
          <w:sz w:val="24"/>
          <w:szCs w:val="24"/>
        </w:rPr>
        <w:t xml:space="preserve">and    </w:t>
      </w:r>
      <w:r>
        <w:rPr>
          <w:i/>
          <w:sz w:val="24"/>
          <w:szCs w:val="24"/>
        </w:rPr>
        <w:t>Giardia    lamblia</w:t>
      </w:r>
      <w:r>
        <w:rPr>
          <w:sz w:val="24"/>
          <w:szCs w:val="24"/>
        </w:rPr>
        <w:t xml:space="preserve">,    </w:t>
      </w:r>
      <w:r>
        <w:rPr>
          <w:i/>
          <w:sz w:val="24"/>
          <w:szCs w:val="24"/>
        </w:rPr>
        <w:t xml:space="preserve">T. </w:t>
      </w:r>
      <w:proofErr w:type="gramStart"/>
      <w:r>
        <w:rPr>
          <w:i/>
          <w:sz w:val="24"/>
          <w:szCs w:val="24"/>
        </w:rPr>
        <w:t xml:space="preserve">vaginalis  </w:t>
      </w:r>
      <w:r>
        <w:rPr>
          <w:sz w:val="24"/>
          <w:szCs w:val="24"/>
        </w:rPr>
        <w:t>cyst</w:t>
      </w:r>
      <w:proofErr w:type="gramEnd"/>
      <w:r>
        <w:rPr>
          <w:sz w:val="24"/>
          <w:szCs w:val="24"/>
        </w:rPr>
        <w:t xml:space="preserve">-like  structures  (CLS)  appear  spherical, immotile,   uniquely   stains   with   </w:t>
      </w:r>
      <w:proofErr w:type="spellStart"/>
      <w:r>
        <w:rPr>
          <w:sz w:val="24"/>
          <w:szCs w:val="24"/>
        </w:rPr>
        <w:t>calcofluor</w:t>
      </w:r>
      <w:proofErr w:type="spellEnd"/>
      <w:r>
        <w:rPr>
          <w:sz w:val="24"/>
          <w:szCs w:val="24"/>
        </w:rPr>
        <w:t xml:space="preserve">   white,   is resistant to osmotic lysis and detergent treatments. We used </w:t>
      </w:r>
      <w:proofErr w:type="spellStart"/>
      <w:r>
        <w:rPr>
          <w:sz w:val="24"/>
          <w:szCs w:val="24"/>
        </w:rPr>
        <w:t>calcofluor</w:t>
      </w:r>
      <w:proofErr w:type="spellEnd"/>
      <w:r>
        <w:rPr>
          <w:sz w:val="24"/>
          <w:szCs w:val="24"/>
        </w:rPr>
        <w:t xml:space="preserve"> white, a stain which specifically binds </w:t>
      </w:r>
      <w:proofErr w:type="gramStart"/>
      <w:r>
        <w:rPr>
          <w:sz w:val="24"/>
          <w:szCs w:val="24"/>
        </w:rPr>
        <w:t>to  chitin</w:t>
      </w:r>
      <w:proofErr w:type="gramEnd"/>
      <w:r>
        <w:rPr>
          <w:sz w:val="24"/>
          <w:szCs w:val="24"/>
        </w:rPr>
        <w:t xml:space="preserve">  and  cellulose-containing  structures,  to  score for   the   Cyst-like   structures.   We   demonstrate   and quantitate   the   processes   of   encystation   as   well   as </w:t>
      </w:r>
      <w:proofErr w:type="spellStart"/>
      <w:proofErr w:type="gramStart"/>
      <w:r>
        <w:rPr>
          <w:sz w:val="24"/>
          <w:szCs w:val="24"/>
        </w:rPr>
        <w:t>excystation</w:t>
      </w:r>
      <w:proofErr w:type="spellEnd"/>
      <w:r>
        <w:rPr>
          <w:sz w:val="24"/>
          <w:szCs w:val="24"/>
        </w:rPr>
        <w:t xml:space="preserve">  </w:t>
      </w:r>
      <w:r>
        <w:rPr>
          <w:i/>
          <w:sz w:val="24"/>
          <w:szCs w:val="24"/>
        </w:rPr>
        <w:t>in</w:t>
      </w:r>
      <w:proofErr w:type="gramEnd"/>
      <w:r>
        <w:rPr>
          <w:i/>
          <w:sz w:val="24"/>
          <w:szCs w:val="24"/>
        </w:rPr>
        <w:t xml:space="preserve">  vitro</w:t>
      </w:r>
      <w:r>
        <w:rPr>
          <w:sz w:val="24"/>
          <w:szCs w:val="24"/>
        </w:rPr>
        <w:t xml:space="preserve">;  thus,  completing  the  parasite’s lifecycle without any chemical/ temperature alterations. We    found    that    CLS    play    an    important    role physiologically    as    it    is    resistant    to    detergents, swimming pool water, and also able to convert back to </w:t>
      </w:r>
      <w:proofErr w:type="spellStart"/>
      <w:r>
        <w:rPr>
          <w:sz w:val="24"/>
          <w:szCs w:val="24"/>
        </w:rPr>
        <w:t>trophozoites</w:t>
      </w:r>
      <w:proofErr w:type="spellEnd"/>
      <w:r>
        <w:rPr>
          <w:sz w:val="24"/>
          <w:szCs w:val="24"/>
        </w:rPr>
        <w:t>.</w:t>
      </w:r>
    </w:p>
    <w:p w:rsidR="001C72BC" w:rsidRDefault="001C72BC" w:rsidP="001C72BC">
      <w:pPr>
        <w:ind w:left="520" w:right="-40"/>
        <w:rPr>
          <w:sz w:val="24"/>
          <w:szCs w:val="24"/>
        </w:rPr>
      </w:pPr>
      <w:r>
        <w:rPr>
          <w:sz w:val="24"/>
          <w:szCs w:val="24"/>
        </w:rPr>
        <w:t xml:space="preserve">Finally,   we   show   that   symptomatic   human   patient vaginal   swabs   have   presence   of   both   </w:t>
      </w:r>
      <w:r>
        <w:rPr>
          <w:i/>
          <w:sz w:val="24"/>
          <w:szCs w:val="24"/>
        </w:rPr>
        <w:t xml:space="preserve">T.   </w:t>
      </w:r>
      <w:proofErr w:type="gramStart"/>
      <w:r>
        <w:rPr>
          <w:i/>
          <w:sz w:val="24"/>
          <w:szCs w:val="24"/>
        </w:rPr>
        <w:t>vaginalis</w:t>
      </w:r>
      <w:proofErr w:type="gramEnd"/>
      <w:r>
        <w:rPr>
          <w:i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trophozoites</w:t>
      </w:r>
      <w:proofErr w:type="spellEnd"/>
      <w:r>
        <w:rPr>
          <w:sz w:val="24"/>
          <w:szCs w:val="24"/>
        </w:rPr>
        <w:t xml:space="preserve">  and  CLS;  thus,  highlighting  the  role  of cyst-like   forms   in   clinical   infections.   The   study </w:t>
      </w:r>
      <w:proofErr w:type="gramStart"/>
      <w:r>
        <w:rPr>
          <w:sz w:val="24"/>
          <w:szCs w:val="24"/>
        </w:rPr>
        <w:t>highlights  the</w:t>
      </w:r>
      <w:proofErr w:type="gramEnd"/>
      <w:r>
        <w:rPr>
          <w:sz w:val="24"/>
          <w:szCs w:val="24"/>
        </w:rPr>
        <w:t xml:space="preserve">  plasticity  of  the  pathogen  and  its  rapid adaption   when   subjected   to   stressful   environmental cues. Together, our findings suggest an important role </w:t>
      </w:r>
      <w:proofErr w:type="gramStart"/>
      <w:r>
        <w:rPr>
          <w:sz w:val="24"/>
          <w:szCs w:val="24"/>
        </w:rPr>
        <w:t>of  cysts</w:t>
      </w:r>
      <w:proofErr w:type="gramEnd"/>
      <w:r>
        <w:rPr>
          <w:sz w:val="24"/>
          <w:szCs w:val="24"/>
        </w:rPr>
        <w:t>-like  structures  in  the  parasite’s  life  cycle, pathogenesis and transmission.</w:t>
      </w:r>
    </w:p>
    <w:p w:rsidR="001C72BC" w:rsidRDefault="001C72BC" w:rsidP="001C72BC">
      <w:pPr>
        <w:spacing w:before="23" w:line="248" w:lineRule="auto"/>
        <w:ind w:left="637" w:right="486"/>
        <w:rPr>
          <w:sz w:val="28"/>
          <w:szCs w:val="28"/>
        </w:rPr>
      </w:pPr>
    </w:p>
    <w:p w:rsidR="00773C6E" w:rsidRDefault="00773C6E"/>
    <w:p w:rsidR="001C72BC" w:rsidRDefault="001C72BC" w:rsidP="001C72BC">
      <w:pPr>
        <w:spacing w:before="61"/>
        <w:ind w:left="18"/>
        <w:jc w:val="both"/>
        <w:rPr>
          <w:sz w:val="24"/>
          <w:szCs w:val="24"/>
        </w:rPr>
      </w:pPr>
      <w:r>
        <w:rPr>
          <w:b/>
          <w:color w:val="211F1F"/>
          <w:sz w:val="24"/>
          <w:szCs w:val="24"/>
        </w:rPr>
        <w:t xml:space="preserve">        </w:t>
      </w:r>
      <w:r>
        <w:rPr>
          <w:b/>
          <w:color w:val="211F1F"/>
          <w:sz w:val="24"/>
          <w:szCs w:val="24"/>
        </w:rPr>
        <w:t>Biography:</w:t>
      </w:r>
    </w:p>
    <w:p w:rsidR="001C72BC" w:rsidRDefault="001C72BC" w:rsidP="001C72BC">
      <w:pPr>
        <w:spacing w:before="2" w:line="120" w:lineRule="exact"/>
        <w:jc w:val="both"/>
        <w:rPr>
          <w:sz w:val="12"/>
          <w:szCs w:val="12"/>
        </w:rPr>
      </w:pPr>
    </w:p>
    <w:p w:rsidR="001C72BC" w:rsidRDefault="001C72BC" w:rsidP="001C72BC">
      <w:pPr>
        <w:ind w:left="18" w:right="710"/>
        <w:jc w:val="both"/>
        <w:rPr>
          <w:sz w:val="24"/>
          <w:szCs w:val="24"/>
        </w:rPr>
      </w:pPr>
      <w:r>
        <w:rPr>
          <w:color w:val="211F1F"/>
          <w:sz w:val="24"/>
          <w:szCs w:val="24"/>
        </w:rPr>
        <w:t xml:space="preserve">I have </w:t>
      </w:r>
      <w:proofErr w:type="spellStart"/>
      <w:r>
        <w:rPr>
          <w:color w:val="211F1F"/>
          <w:sz w:val="24"/>
          <w:szCs w:val="24"/>
        </w:rPr>
        <w:t>complested</w:t>
      </w:r>
      <w:proofErr w:type="spellEnd"/>
      <w:r>
        <w:rPr>
          <w:color w:val="211F1F"/>
          <w:sz w:val="24"/>
          <w:szCs w:val="24"/>
        </w:rPr>
        <w:t xml:space="preserve"> my Masters in life sciences in Indian Institute of Science at the age of 23. I am pursuing my PhD research from Indian Institute of Science in the field of neglected infectious diseases, one of which is a very common sexually transmitted infection caused by </w:t>
      </w:r>
      <w:r>
        <w:rPr>
          <w:i/>
          <w:color w:val="211F1F"/>
          <w:sz w:val="24"/>
          <w:szCs w:val="24"/>
        </w:rPr>
        <w:t>Trichomonas vaginalis</w:t>
      </w:r>
      <w:r>
        <w:rPr>
          <w:color w:val="211F1F"/>
          <w:sz w:val="24"/>
          <w:szCs w:val="24"/>
        </w:rPr>
        <w:t>.</w:t>
      </w:r>
    </w:p>
    <w:p w:rsidR="001C72BC" w:rsidRDefault="001C72BC" w:rsidP="001C72BC">
      <w:pPr>
        <w:jc w:val="both"/>
      </w:pPr>
      <w:bookmarkStart w:id="0" w:name="_GoBack"/>
      <w:bookmarkEnd w:id="0"/>
    </w:p>
    <w:sectPr w:rsidR="001C72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2BC"/>
    <w:rsid w:val="001C72BC"/>
    <w:rsid w:val="0077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2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2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Emergency &amp; Acutecare Medicine</dc:creator>
  <cp:lastModifiedBy>Emergency &amp; Acutecare Medicine</cp:lastModifiedBy>
  <cp:revision>1</cp:revision>
  <dcterms:created xsi:type="dcterms:W3CDTF">2022-05-25T09:46:00Z</dcterms:created>
  <dcterms:modified xsi:type="dcterms:W3CDTF">2022-05-25T09:48:00Z</dcterms:modified>
</cp:coreProperties>
</file>