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3093A3" w14:textId="2EDF142D" w:rsidR="00AE3E37" w:rsidRDefault="002A279B" w:rsidP="000534A1">
      <w:pPr>
        <w:pStyle w:val="Heading1"/>
        <w:spacing w:before="170"/>
        <w:ind w:left="0"/>
        <w:jc w:val="both"/>
      </w:pPr>
      <w:r w:rsidRPr="00145817">
        <w:rPr>
          <w:i/>
          <w:iCs/>
          <w:color w:val="337AB7"/>
        </w:rPr>
        <w:t>Dalbergia parviflora</w:t>
      </w:r>
      <w:r>
        <w:rPr>
          <w:color w:val="337AB7"/>
        </w:rPr>
        <w:t xml:space="preserve"> extracts mediate tyrosinase expression and melanogenesis</w:t>
      </w:r>
      <w:r w:rsidR="00145817">
        <w:rPr>
          <w:color w:val="337AB7"/>
        </w:rPr>
        <w:t xml:space="preserve"> in mouse B16F10 and human MNT1 melanoma cells </w:t>
      </w:r>
    </w:p>
    <w:p w14:paraId="7177FA96" w14:textId="545F863D" w:rsidR="008E7292" w:rsidRDefault="00145817" w:rsidP="008E7292">
      <w:pPr>
        <w:pStyle w:val="BodyText"/>
        <w:spacing w:before="73" w:line="198" w:lineRule="exact"/>
        <w:ind w:left="100" w:right="5987"/>
        <w:rPr>
          <w:rFonts w:ascii="Arial"/>
        </w:rPr>
      </w:pPr>
      <w:bookmarkStart w:id="0" w:name="_GoBack"/>
      <w:r>
        <w:rPr>
          <w:rFonts w:ascii="Arial"/>
        </w:rPr>
        <w:t>Ponsawan Netcharoensirisuk</w:t>
      </w:r>
      <w:bookmarkEnd w:id="0"/>
      <w:r w:rsidR="005973B9">
        <w:rPr>
          <w:rFonts w:ascii="Arial"/>
        </w:rPr>
        <w:t>,</w:t>
      </w:r>
      <w:r w:rsidR="008E7292">
        <w:rPr>
          <w:rFonts w:ascii="Arial"/>
        </w:rPr>
        <w:t xml:space="preserve"> </w:t>
      </w:r>
      <w:r w:rsidR="005C1105">
        <w:rPr>
          <w:rFonts w:ascii="Arial" w:cstheme="minorBidi"/>
          <w:szCs w:val="22"/>
          <w:lang w:bidi="th-TH"/>
        </w:rPr>
        <w:t xml:space="preserve">Chatchai </w:t>
      </w:r>
      <w:r w:rsidR="005C1105" w:rsidRPr="008E7292">
        <w:rPr>
          <w:rFonts w:ascii="Arial" w:cstheme="minorBidi"/>
          <w:szCs w:val="22"/>
          <w:lang w:bidi="th-TH"/>
        </w:rPr>
        <w:t>Chaotham</w:t>
      </w:r>
      <w:r w:rsidR="005C1105">
        <w:rPr>
          <w:rFonts w:ascii="Arial" w:cstheme="minorBidi"/>
          <w:szCs w:val="22"/>
          <w:lang w:bidi="th-TH"/>
        </w:rPr>
        <w:t xml:space="preserve">, </w:t>
      </w:r>
      <w:r w:rsidR="008E7292">
        <w:rPr>
          <w:rFonts w:ascii="Arial" w:cstheme="minorBidi"/>
          <w:szCs w:val="22"/>
          <w:lang w:bidi="th-TH"/>
        </w:rPr>
        <w:t>Wanchai De-Eknamkul,</w:t>
      </w:r>
    </w:p>
    <w:p w14:paraId="71D41BB8" w14:textId="0BAD87F5" w:rsidR="008E7292" w:rsidRDefault="001C0D32" w:rsidP="008E7292">
      <w:pPr>
        <w:pStyle w:val="BodyText"/>
        <w:spacing w:before="73" w:line="198" w:lineRule="exact"/>
        <w:ind w:left="100" w:right="5987"/>
        <w:rPr>
          <w:rFonts w:ascii="Arial"/>
        </w:rPr>
      </w:pPr>
      <w:r w:rsidRPr="001C0D32">
        <w:rPr>
          <w:rFonts w:ascii="Arial"/>
        </w:rPr>
        <w:t>Program in Biomedicinal Chemistry</w:t>
      </w:r>
      <w:r>
        <w:rPr>
          <w:rFonts w:ascii="Arial"/>
        </w:rPr>
        <w:t xml:space="preserve">, </w:t>
      </w:r>
      <w:r w:rsidR="008E7292" w:rsidRPr="008E7292">
        <w:rPr>
          <w:rFonts w:ascii="Arial"/>
        </w:rPr>
        <w:t>Faculty of Pharmaceutical Sciences, Chulalongkorn University,</w:t>
      </w:r>
      <w:r w:rsidR="008E7292">
        <w:rPr>
          <w:rFonts w:ascii="Arial" w:cstheme="minorBidi" w:hint="cs"/>
          <w:szCs w:val="22"/>
          <w:cs/>
          <w:lang w:bidi="th-TH"/>
        </w:rPr>
        <w:t xml:space="preserve"> </w:t>
      </w:r>
      <w:r w:rsidR="008E7292" w:rsidRPr="008E7292">
        <w:rPr>
          <w:rFonts w:ascii="Arial"/>
        </w:rPr>
        <w:t>Bangkok,</w:t>
      </w:r>
      <w:r w:rsidR="008E7292">
        <w:rPr>
          <w:rFonts w:ascii="Arial"/>
        </w:rPr>
        <w:t xml:space="preserve"> </w:t>
      </w:r>
      <w:r w:rsidR="008E7292" w:rsidRPr="008E7292">
        <w:rPr>
          <w:rFonts w:ascii="Arial"/>
        </w:rPr>
        <w:t>Thailand</w:t>
      </w:r>
    </w:p>
    <w:p w14:paraId="5BFBC7AB" w14:textId="3E34CBC7" w:rsidR="00AE3E37" w:rsidRDefault="00AE3E37">
      <w:pPr>
        <w:pStyle w:val="BodyText"/>
        <w:rPr>
          <w:rFonts w:ascii="Arial"/>
          <w:sz w:val="20"/>
        </w:rPr>
      </w:pPr>
    </w:p>
    <w:p w14:paraId="6527CAA7"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42965936" w14:textId="70E870A1" w:rsidR="00AE3E37" w:rsidRDefault="00A9710C">
      <w:pPr>
        <w:pStyle w:val="Heading3"/>
        <w:spacing w:before="147"/>
        <w:jc w:val="both"/>
      </w:pPr>
      <w:r>
        <w:rPr>
          <w:color w:val="BF5A14"/>
        </w:rPr>
        <w:lastRenderedPageBreak/>
        <w:t>Abstract</w:t>
      </w:r>
    </w:p>
    <w:p w14:paraId="3B3E13D1" w14:textId="43645A5C" w:rsidR="00AE3E37" w:rsidRDefault="008E7292" w:rsidP="00774F7B">
      <w:pPr>
        <w:pStyle w:val="Heading3"/>
        <w:spacing w:before="74"/>
        <w:jc w:val="thaiDistribute"/>
      </w:pPr>
      <w:r w:rsidRPr="008E7292">
        <w:rPr>
          <w:rFonts w:ascii="Tw Cen MT" w:eastAsia="Tw Cen MT" w:hAnsi="Tw Cen MT" w:cs="Tw Cen MT"/>
          <w:b w:val="0"/>
          <w:bCs w:val="0"/>
          <w:sz w:val="18"/>
          <w:szCs w:val="18"/>
        </w:rPr>
        <w:t xml:space="preserve">Hypopigmentation is a condition of low melanin production </w:t>
      </w:r>
      <w:r w:rsidR="00EC62FC" w:rsidRPr="008E7292">
        <w:rPr>
          <w:rFonts w:ascii="Tw Cen MT" w:eastAsia="Tw Cen MT" w:hAnsi="Tw Cen MT" w:cs="Tw Cen MT"/>
          <w:b w:val="0"/>
          <w:bCs w:val="0"/>
          <w:sz w:val="18"/>
          <w:szCs w:val="18"/>
        </w:rPr>
        <w:t>occurring</w:t>
      </w:r>
      <w:r w:rsidRPr="008E7292">
        <w:rPr>
          <w:rFonts w:ascii="Tw Cen MT" w:eastAsia="Tw Cen MT" w:hAnsi="Tw Cen MT" w:cs="Tw Cen MT"/>
          <w:b w:val="0"/>
          <w:bCs w:val="0"/>
          <w:sz w:val="18"/>
          <w:szCs w:val="18"/>
        </w:rPr>
        <w:t xml:space="preserve"> in eye, skin and hair.  Until now, there has been no recommended remedies</w:t>
      </w:r>
      <w:r>
        <w:rPr>
          <w:rFonts w:ascii="Tw Cen MT" w:eastAsia="Tw Cen MT" w:hAnsi="Tw Cen MT" w:cs="Tw Cen MT"/>
          <w:b w:val="0"/>
          <w:bCs w:val="0"/>
          <w:sz w:val="18"/>
          <w:szCs w:val="18"/>
        </w:rPr>
        <w:t xml:space="preserve"> </w:t>
      </w:r>
      <w:r w:rsidRPr="008E7292">
        <w:rPr>
          <w:rFonts w:ascii="Tw Cen MT" w:eastAsia="Tw Cen MT" w:hAnsi="Tw Cen MT" w:cs="Tw Cen MT"/>
          <w:b w:val="0"/>
          <w:bCs w:val="0"/>
          <w:sz w:val="18"/>
          <w:szCs w:val="18"/>
        </w:rPr>
        <w:t xml:space="preserve">with high efficacy and human safety profile for hypopigmentation treatment. The flavonoid containing extracts from </w:t>
      </w:r>
      <w:r w:rsidRPr="008E7292">
        <w:rPr>
          <w:rFonts w:ascii="Tw Cen MT" w:eastAsia="Tw Cen MT" w:hAnsi="Tw Cen MT" w:cs="Tw Cen MT"/>
          <w:b w:val="0"/>
          <w:bCs w:val="0"/>
          <w:i/>
          <w:iCs/>
          <w:sz w:val="18"/>
          <w:szCs w:val="18"/>
        </w:rPr>
        <w:t>Dalbergia parviflora</w:t>
      </w:r>
      <w:r w:rsidRPr="008E7292">
        <w:rPr>
          <w:rFonts w:ascii="Tw Cen MT" w:eastAsia="Tw Cen MT" w:hAnsi="Tw Cen MT" w:cs="Tw Cen MT"/>
          <w:b w:val="0"/>
          <w:bCs w:val="0"/>
          <w:sz w:val="18"/>
          <w:szCs w:val="18"/>
        </w:rPr>
        <w:t xml:space="preserve"> was shown to stimulate melanin production in B16F10 mouse melanoma cells. However, the regulatory mechanisms of the extracts on melanogenesis has not been thoroughly investigated. Here in, the inducing effect of </w:t>
      </w:r>
      <w:r w:rsidRPr="008E7292">
        <w:rPr>
          <w:rFonts w:ascii="Tw Cen MT" w:eastAsia="Tw Cen MT" w:hAnsi="Tw Cen MT" w:cs="Tw Cen MT"/>
          <w:b w:val="0"/>
          <w:bCs w:val="0"/>
          <w:i/>
          <w:iCs/>
          <w:sz w:val="18"/>
          <w:szCs w:val="18"/>
        </w:rPr>
        <w:t>D. parviflora</w:t>
      </w:r>
      <w:r w:rsidRPr="008E7292">
        <w:rPr>
          <w:rFonts w:ascii="Tw Cen MT" w:eastAsia="Tw Cen MT" w:hAnsi="Tw Cen MT" w:cs="Tw Cen MT"/>
          <w:b w:val="0"/>
          <w:bCs w:val="0"/>
          <w:sz w:val="18"/>
          <w:szCs w:val="18"/>
        </w:rPr>
        <w:t xml:space="preserve"> extracts on the expression level of tyrosinase in </w:t>
      </w:r>
      <w:r>
        <w:rPr>
          <w:rFonts w:ascii="Tw Cen MT" w:eastAsia="Tw Cen MT" w:hAnsi="Tw Cen MT" w:cs="Tw Cen MT"/>
          <w:b w:val="0"/>
          <w:bCs w:val="0"/>
          <w:sz w:val="18"/>
          <w:szCs w:val="18"/>
        </w:rPr>
        <w:t xml:space="preserve">mouse </w:t>
      </w:r>
      <w:r w:rsidRPr="008E7292">
        <w:rPr>
          <w:rFonts w:ascii="Tw Cen MT" w:eastAsia="Tw Cen MT" w:hAnsi="Tw Cen MT" w:cs="Tw Cen MT"/>
          <w:b w:val="0"/>
          <w:bCs w:val="0"/>
          <w:sz w:val="18"/>
          <w:szCs w:val="18"/>
        </w:rPr>
        <w:t>B16F10</w:t>
      </w:r>
      <w:r>
        <w:rPr>
          <w:rFonts w:ascii="Tw Cen MT" w:eastAsia="Tw Cen MT" w:hAnsi="Tw Cen MT" w:cs="Tw Cen MT"/>
          <w:b w:val="0"/>
          <w:bCs w:val="0"/>
          <w:sz w:val="18"/>
          <w:szCs w:val="18"/>
        </w:rPr>
        <w:t xml:space="preserve"> &amp; human MNT1</w:t>
      </w:r>
      <w:r w:rsidRPr="008E7292">
        <w:rPr>
          <w:rFonts w:ascii="Tw Cen MT" w:eastAsia="Tw Cen MT" w:hAnsi="Tw Cen MT" w:cs="Tw Cen MT"/>
          <w:b w:val="0"/>
          <w:bCs w:val="0"/>
          <w:sz w:val="18"/>
          <w:szCs w:val="18"/>
        </w:rPr>
        <w:t>melanoma cells was firstly revealed. The cells were treated with 0-</w:t>
      </w:r>
      <w:r w:rsidR="00EC62FC">
        <w:rPr>
          <w:rFonts w:ascii="Tw Cen MT" w:eastAsia="Tw Cen MT" w:hAnsi="Tw Cen MT" w:cs="Tw Cen MT"/>
          <w:b w:val="0"/>
          <w:bCs w:val="0"/>
          <w:sz w:val="18"/>
          <w:szCs w:val="18"/>
        </w:rPr>
        <w:t>5</w:t>
      </w:r>
      <w:r w:rsidRPr="008E7292">
        <w:rPr>
          <w:rFonts w:ascii="Tw Cen MT" w:eastAsia="Tw Cen MT" w:hAnsi="Tw Cen MT" w:cs="Tw Cen MT"/>
          <w:b w:val="0"/>
          <w:bCs w:val="0"/>
          <w:sz w:val="18"/>
          <w:szCs w:val="18"/>
        </w:rPr>
        <w:t xml:space="preserve">0 µg/ml of </w:t>
      </w:r>
      <w:r w:rsidRPr="00EC62FC">
        <w:rPr>
          <w:rFonts w:ascii="Tw Cen MT" w:eastAsia="Tw Cen MT" w:hAnsi="Tw Cen MT" w:cs="Tw Cen MT"/>
          <w:b w:val="0"/>
          <w:bCs w:val="0"/>
          <w:i/>
          <w:iCs/>
          <w:sz w:val="18"/>
          <w:szCs w:val="18"/>
        </w:rPr>
        <w:t>D. parviflora</w:t>
      </w:r>
      <w:r w:rsidRPr="008E7292">
        <w:rPr>
          <w:rFonts w:ascii="Tw Cen MT" w:eastAsia="Tw Cen MT" w:hAnsi="Tw Cen MT" w:cs="Tw Cen MT"/>
          <w:b w:val="0"/>
          <w:bCs w:val="0"/>
          <w:sz w:val="18"/>
          <w:szCs w:val="18"/>
        </w:rPr>
        <w:t xml:space="preserve"> extracts for 24-72 h for evaluation of cytotoxicity, mode of cell death and proliferative effect. Melanin production and tyrosinase activity were observed at non-toxic concentration of </w:t>
      </w:r>
      <w:r w:rsidRPr="00EC62FC">
        <w:rPr>
          <w:rFonts w:ascii="Tw Cen MT" w:eastAsia="Tw Cen MT" w:hAnsi="Tw Cen MT" w:cs="Tw Cen MT"/>
          <w:b w:val="0"/>
          <w:bCs w:val="0"/>
          <w:i/>
          <w:iCs/>
          <w:sz w:val="18"/>
          <w:szCs w:val="18"/>
        </w:rPr>
        <w:t>D. parviflora</w:t>
      </w:r>
      <w:r w:rsidRPr="008E7292">
        <w:rPr>
          <w:rFonts w:ascii="Tw Cen MT" w:eastAsia="Tw Cen MT" w:hAnsi="Tw Cen MT" w:cs="Tw Cen MT"/>
          <w:b w:val="0"/>
          <w:bCs w:val="0"/>
          <w:sz w:val="18"/>
          <w:szCs w:val="18"/>
        </w:rPr>
        <w:t xml:space="preserve"> extracts. Determination of mRNA and expression level of melanin regulating proteins were performed by real-time RT-PCR and western blotting, respectively. </w:t>
      </w:r>
      <w:r w:rsidR="00EC62FC" w:rsidRPr="00EC62FC">
        <w:rPr>
          <w:rFonts w:ascii="Tw Cen MT" w:eastAsia="Tw Cen MT" w:hAnsi="Tw Cen MT" w:cs="Tw Cen MT"/>
          <w:b w:val="0"/>
          <w:bCs w:val="0"/>
          <w:sz w:val="18"/>
          <w:szCs w:val="18"/>
        </w:rPr>
        <w:t xml:space="preserve">Tyrosinase activity and melanin content were significantly increased in </w:t>
      </w:r>
      <w:r w:rsidR="00EC62FC">
        <w:rPr>
          <w:rFonts w:ascii="Tw Cen MT" w:eastAsia="Tw Cen MT" w:hAnsi="Tw Cen MT" w:cs="Tw Cen MT"/>
          <w:b w:val="0"/>
          <w:bCs w:val="0"/>
          <w:sz w:val="18"/>
          <w:szCs w:val="18"/>
        </w:rPr>
        <w:t xml:space="preserve">both </w:t>
      </w:r>
      <w:r w:rsidR="00EC62FC" w:rsidRPr="00EC62FC">
        <w:rPr>
          <w:rFonts w:ascii="Tw Cen MT" w:eastAsia="Tw Cen MT" w:hAnsi="Tw Cen MT" w:cs="Tw Cen MT"/>
          <w:b w:val="0"/>
          <w:bCs w:val="0"/>
          <w:sz w:val="18"/>
          <w:szCs w:val="18"/>
        </w:rPr>
        <w:t>B16F10</w:t>
      </w:r>
      <w:r w:rsidR="00EC62FC">
        <w:rPr>
          <w:rFonts w:ascii="Tw Cen MT" w:eastAsia="Tw Cen MT" w:hAnsi="Tw Cen MT" w:cs="Tw Cen MT"/>
          <w:b w:val="0"/>
          <w:bCs w:val="0"/>
          <w:sz w:val="18"/>
          <w:szCs w:val="18"/>
        </w:rPr>
        <w:t xml:space="preserve"> &amp; MNT1</w:t>
      </w:r>
      <w:r w:rsidR="00EC62FC" w:rsidRPr="00EC62FC">
        <w:rPr>
          <w:rFonts w:ascii="Tw Cen MT" w:eastAsia="Tw Cen MT" w:hAnsi="Tw Cen MT" w:cs="Tw Cen MT"/>
          <w:b w:val="0"/>
          <w:bCs w:val="0"/>
          <w:sz w:val="18"/>
          <w:szCs w:val="18"/>
        </w:rPr>
        <w:t xml:space="preserve"> cells treated with </w:t>
      </w:r>
      <w:r w:rsidR="00EC62FC" w:rsidRPr="00EC62FC">
        <w:rPr>
          <w:rFonts w:ascii="Tw Cen MT" w:eastAsia="Tw Cen MT" w:hAnsi="Tw Cen MT" w:cs="Tw Cen MT"/>
          <w:b w:val="0"/>
          <w:bCs w:val="0"/>
          <w:i/>
          <w:iCs/>
          <w:sz w:val="18"/>
          <w:szCs w:val="18"/>
        </w:rPr>
        <w:t>D. parviflora</w:t>
      </w:r>
      <w:r w:rsidR="00EC62FC" w:rsidRPr="00EC62FC">
        <w:rPr>
          <w:rFonts w:ascii="Tw Cen MT" w:eastAsia="Tw Cen MT" w:hAnsi="Tw Cen MT" w:cs="Tw Cen MT"/>
          <w:b w:val="0"/>
          <w:bCs w:val="0"/>
          <w:sz w:val="18"/>
          <w:szCs w:val="18"/>
        </w:rPr>
        <w:t xml:space="preserve"> at 0.1-10 µg/ml for 72 h. Despite of the up-regulation of tyrosinase mRNA at 48 h</w:t>
      </w:r>
      <w:r w:rsidR="007E0D7E">
        <w:rPr>
          <w:rFonts w:ascii="Tw Cen MT" w:eastAsia="Tw Cen MT" w:hAnsi="Tw Cen MT" w:cstheme="minorBidi" w:hint="cs"/>
          <w:b w:val="0"/>
          <w:bCs w:val="0"/>
          <w:sz w:val="18"/>
          <w:szCs w:val="22"/>
          <w:cs/>
          <w:lang w:bidi="th-TH"/>
        </w:rPr>
        <w:t xml:space="preserve"> </w:t>
      </w:r>
      <w:r w:rsidR="007E0D7E">
        <w:rPr>
          <w:rFonts w:ascii="Tw Cen MT" w:eastAsia="Tw Cen MT" w:hAnsi="Tw Cen MT" w:cstheme="minorBidi"/>
          <w:b w:val="0"/>
          <w:bCs w:val="0"/>
          <w:sz w:val="18"/>
          <w:szCs w:val="22"/>
          <w:lang w:bidi="th-TH"/>
        </w:rPr>
        <w:t>in mouse B16F10 cells</w:t>
      </w:r>
      <w:r w:rsidR="00EC62FC" w:rsidRPr="00EC62FC">
        <w:rPr>
          <w:rFonts w:ascii="Tw Cen MT" w:eastAsia="Tw Cen MT" w:hAnsi="Tw Cen MT" w:cs="Tw Cen MT"/>
          <w:b w:val="0"/>
          <w:bCs w:val="0"/>
          <w:sz w:val="18"/>
          <w:szCs w:val="18"/>
        </w:rPr>
        <w:t xml:space="preserve">, there was no alteration on mRNA of MITF, a transcription factor mediating tyrosinase expression in melanoma cells after incubation with 10 µg/ml of the extracts for 24-72 h. Interestingly, </w:t>
      </w:r>
      <w:r w:rsidR="007E0D7E">
        <w:rPr>
          <w:rFonts w:ascii="Tw Cen MT" w:eastAsia="Tw Cen MT" w:hAnsi="Tw Cen MT" w:cs="Tw Cen MT"/>
          <w:b w:val="0"/>
          <w:bCs w:val="0"/>
          <w:sz w:val="18"/>
          <w:szCs w:val="18"/>
        </w:rPr>
        <w:t xml:space="preserve">in mouse cells </w:t>
      </w:r>
      <w:r w:rsidR="00EC62FC" w:rsidRPr="00EC62FC">
        <w:rPr>
          <w:rFonts w:ascii="Tw Cen MT" w:eastAsia="Tw Cen MT" w:hAnsi="Tw Cen MT" w:cs="Tw Cen MT"/>
          <w:b w:val="0"/>
          <w:bCs w:val="0"/>
          <w:sz w:val="18"/>
          <w:szCs w:val="18"/>
        </w:rPr>
        <w:t xml:space="preserve">the translocation of MITF from cytoplasm into nuclease were presented </w:t>
      </w:r>
      <w:r w:rsidR="007E0D7E">
        <w:rPr>
          <w:rFonts w:ascii="Tw Cen MT" w:eastAsia="Tw Cen MT" w:hAnsi="Tw Cen MT" w:cs="Tw Cen MT"/>
          <w:b w:val="0"/>
          <w:bCs w:val="0"/>
          <w:sz w:val="18"/>
          <w:szCs w:val="18"/>
        </w:rPr>
        <w:t xml:space="preserve">in </w:t>
      </w:r>
      <w:r w:rsidR="00EC62FC" w:rsidRPr="00EC62FC">
        <w:rPr>
          <w:rFonts w:ascii="Tw Cen MT" w:eastAsia="Tw Cen MT" w:hAnsi="Tw Cen MT" w:cs="Tw Cen MT"/>
          <w:b w:val="0"/>
          <w:bCs w:val="0"/>
          <w:sz w:val="18"/>
          <w:szCs w:val="18"/>
        </w:rPr>
        <w:t xml:space="preserve">early at 24 h of </w:t>
      </w:r>
      <w:r w:rsidR="00EC62FC" w:rsidRPr="007E0D7E">
        <w:rPr>
          <w:rFonts w:ascii="Tw Cen MT" w:eastAsia="Tw Cen MT" w:hAnsi="Tw Cen MT" w:cs="Tw Cen MT"/>
          <w:b w:val="0"/>
          <w:bCs w:val="0"/>
          <w:i/>
          <w:iCs/>
          <w:sz w:val="18"/>
          <w:szCs w:val="18"/>
        </w:rPr>
        <w:t>D. parviflora</w:t>
      </w:r>
      <w:r w:rsidR="00EC62FC" w:rsidRPr="00EC62FC">
        <w:rPr>
          <w:rFonts w:ascii="Tw Cen MT" w:eastAsia="Tw Cen MT" w:hAnsi="Tw Cen MT" w:cs="Tw Cen MT"/>
          <w:b w:val="0"/>
          <w:bCs w:val="0"/>
          <w:sz w:val="18"/>
          <w:szCs w:val="18"/>
        </w:rPr>
        <w:t xml:space="preserve"> extracts treatment.</w:t>
      </w:r>
      <w:r w:rsidR="00EC62FC">
        <w:rPr>
          <w:rFonts w:ascii="Tw Cen MT" w:eastAsia="Tw Cen MT" w:hAnsi="Tw Cen MT" w:cs="Tw Cen MT"/>
          <w:b w:val="0"/>
          <w:bCs w:val="0"/>
          <w:sz w:val="18"/>
          <w:szCs w:val="18"/>
        </w:rPr>
        <w:t xml:space="preserve"> </w:t>
      </w:r>
      <w:r w:rsidR="00EC62FC" w:rsidRPr="00EC62FC">
        <w:rPr>
          <w:rFonts w:ascii="Tw Cen MT" w:eastAsia="Tw Cen MT" w:hAnsi="Tw Cen MT" w:cs="Tw Cen MT"/>
          <w:b w:val="0"/>
          <w:bCs w:val="0"/>
          <w:sz w:val="18"/>
          <w:szCs w:val="18"/>
        </w:rPr>
        <w:t xml:space="preserve">These results indicated that </w:t>
      </w:r>
      <w:r w:rsidR="00EC62FC" w:rsidRPr="00EC62FC">
        <w:rPr>
          <w:rFonts w:ascii="Tw Cen MT" w:eastAsia="Tw Cen MT" w:hAnsi="Tw Cen MT" w:cs="Tw Cen MT"/>
          <w:b w:val="0"/>
          <w:bCs w:val="0"/>
          <w:i/>
          <w:iCs/>
          <w:sz w:val="18"/>
          <w:szCs w:val="18"/>
        </w:rPr>
        <w:t>D.</w:t>
      </w:r>
      <w:r w:rsidR="007E0D7E">
        <w:rPr>
          <w:rFonts w:ascii="Tw Cen MT" w:eastAsia="Tw Cen MT" w:hAnsi="Tw Cen MT" w:cs="Tw Cen MT"/>
          <w:b w:val="0"/>
          <w:bCs w:val="0"/>
          <w:i/>
          <w:iCs/>
          <w:sz w:val="18"/>
          <w:szCs w:val="18"/>
        </w:rPr>
        <w:t xml:space="preserve"> </w:t>
      </w:r>
      <w:r w:rsidR="00EC62FC" w:rsidRPr="00EC62FC">
        <w:rPr>
          <w:rFonts w:ascii="Tw Cen MT" w:eastAsia="Tw Cen MT" w:hAnsi="Tw Cen MT" w:cs="Tw Cen MT"/>
          <w:b w:val="0"/>
          <w:bCs w:val="0"/>
          <w:i/>
          <w:iCs/>
          <w:sz w:val="18"/>
          <w:szCs w:val="18"/>
        </w:rPr>
        <w:t>parviflora</w:t>
      </w:r>
      <w:r w:rsidR="00EC62FC" w:rsidRPr="00EC62FC">
        <w:rPr>
          <w:rFonts w:ascii="Tw Cen MT" w:eastAsia="Tw Cen MT" w:hAnsi="Tw Cen MT" w:cs="Tw Cen MT"/>
          <w:b w:val="0"/>
          <w:bCs w:val="0"/>
          <w:sz w:val="18"/>
          <w:szCs w:val="18"/>
        </w:rPr>
        <w:t xml:space="preserve"> extracts stimulated the melanin production and up-regulated tyrosinase expression through modulation on MITF translocation in melanin generating cells. </w:t>
      </w:r>
      <w:r w:rsidR="007E0D7E">
        <w:rPr>
          <w:rFonts w:ascii="Tw Cen MT" w:eastAsia="Tw Cen MT" w:hAnsi="Tw Cen MT" w:cs="Tw Cen MT"/>
          <w:b w:val="0"/>
          <w:bCs w:val="0"/>
          <w:sz w:val="18"/>
          <w:szCs w:val="18"/>
        </w:rPr>
        <w:t xml:space="preserve">The information obtained from this study </w:t>
      </w:r>
      <w:r w:rsidR="007E0D7E" w:rsidRPr="007E0D7E">
        <w:rPr>
          <w:rFonts w:ascii="Tw Cen MT" w:eastAsia="Tw Cen MT" w:hAnsi="Tw Cen MT" w:cs="Tw Cen MT"/>
          <w:b w:val="0"/>
          <w:bCs w:val="0"/>
          <w:sz w:val="18"/>
          <w:szCs w:val="18"/>
        </w:rPr>
        <w:t>strengthen</w:t>
      </w:r>
      <w:r w:rsidR="007E0D7E">
        <w:rPr>
          <w:rFonts w:ascii="Tw Cen MT" w:eastAsia="Tw Cen MT" w:hAnsi="Tw Cen MT" w:cs="Tw Cen MT"/>
          <w:b w:val="0"/>
          <w:bCs w:val="0"/>
          <w:sz w:val="18"/>
          <w:szCs w:val="18"/>
        </w:rPr>
        <w:t xml:space="preserve"> the potential development</w:t>
      </w:r>
      <w:r w:rsidR="00774F7B">
        <w:rPr>
          <w:rFonts w:ascii="Tw Cen MT" w:eastAsia="Tw Cen MT" w:hAnsi="Tw Cen MT" w:cs="Tw Cen MT"/>
          <w:b w:val="0"/>
          <w:bCs w:val="0"/>
          <w:sz w:val="18"/>
          <w:szCs w:val="18"/>
        </w:rPr>
        <w:t xml:space="preserve"> of </w:t>
      </w:r>
      <w:r w:rsidR="00774F7B" w:rsidRPr="008E7292">
        <w:rPr>
          <w:rFonts w:ascii="Tw Cen MT" w:eastAsia="Tw Cen MT" w:hAnsi="Tw Cen MT" w:cs="Tw Cen MT"/>
          <w:b w:val="0"/>
          <w:bCs w:val="0"/>
          <w:i/>
          <w:iCs/>
          <w:sz w:val="18"/>
          <w:szCs w:val="18"/>
        </w:rPr>
        <w:t>D. parviflora</w:t>
      </w:r>
      <w:r w:rsidR="00774F7B" w:rsidRPr="008E7292">
        <w:rPr>
          <w:rFonts w:ascii="Tw Cen MT" w:eastAsia="Tw Cen MT" w:hAnsi="Tw Cen MT" w:cs="Tw Cen MT"/>
          <w:b w:val="0"/>
          <w:bCs w:val="0"/>
          <w:sz w:val="18"/>
          <w:szCs w:val="18"/>
        </w:rPr>
        <w:t xml:space="preserve"> </w:t>
      </w:r>
      <w:r w:rsidR="00774F7B">
        <w:rPr>
          <w:rFonts w:ascii="Tw Cen MT" w:eastAsia="Tw Cen MT" w:hAnsi="Tw Cen MT" w:cs="Tw Cen MT"/>
          <w:b w:val="0"/>
          <w:bCs w:val="0"/>
          <w:sz w:val="18"/>
          <w:szCs w:val="18"/>
        </w:rPr>
        <w:t xml:space="preserve">extracts as an effective treatment with high human safety for hypopigmented disorders.  </w:t>
      </w:r>
      <w:r w:rsidR="00A9710C">
        <w:rPr>
          <w:b w:val="0"/>
        </w:rPr>
        <w:br w:type="column"/>
      </w:r>
    </w:p>
    <w:p w14:paraId="59F28880" w14:textId="3A19491E" w:rsidR="001C0D32" w:rsidRPr="001C0D32" w:rsidRDefault="001C0D32" w:rsidP="001C0D32">
      <w:pPr>
        <w:pStyle w:val="BodyText"/>
        <w:spacing w:before="2"/>
        <w:rPr>
          <w:rFonts w:ascii="Arial"/>
          <w:b/>
          <w:sz w:val="16"/>
        </w:rPr>
      </w:pPr>
      <w:r>
        <w:rPr>
          <w:rFonts w:ascii="Arial"/>
          <w:b/>
          <w:noProof/>
          <w:sz w:val="16"/>
        </w:rPr>
        <w:drawing>
          <wp:inline distT="0" distB="0" distL="0" distR="0" wp14:anchorId="7BD7F679" wp14:editId="77BC548E">
            <wp:extent cx="3086100" cy="24422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87178" cy="2443113"/>
                    </a:xfrm>
                    <a:prstGeom prst="rect">
                      <a:avLst/>
                    </a:prstGeom>
                  </pic:spPr>
                </pic:pic>
              </a:graphicData>
            </a:graphic>
          </wp:inline>
        </w:drawing>
      </w:r>
    </w:p>
    <w:p w14:paraId="5E53F92C" w14:textId="77777777" w:rsidR="001C0D32" w:rsidRDefault="001C0D32" w:rsidP="005973B9">
      <w:pPr>
        <w:spacing w:line="204" w:lineRule="exact"/>
        <w:rPr>
          <w:rFonts w:ascii="Arial"/>
          <w:b/>
          <w:color w:val="BF5A14"/>
          <w:sz w:val="20"/>
        </w:rPr>
      </w:pPr>
    </w:p>
    <w:p w14:paraId="0B61D1A4" w14:textId="5AB035F2" w:rsidR="005973B9" w:rsidRDefault="005973B9" w:rsidP="005973B9">
      <w:pPr>
        <w:spacing w:line="204" w:lineRule="exact"/>
        <w:rPr>
          <w:rFonts w:ascii="Arial"/>
          <w:b/>
          <w:sz w:val="20"/>
        </w:rPr>
      </w:pPr>
      <w:r>
        <w:rPr>
          <w:rFonts w:ascii="Arial"/>
          <w:b/>
          <w:color w:val="BF5A14"/>
          <w:sz w:val="20"/>
        </w:rPr>
        <w:t>Recent Publications</w:t>
      </w:r>
    </w:p>
    <w:p w14:paraId="6FBF0BB2" w14:textId="76EEBBE0" w:rsidR="00157DAB" w:rsidRPr="00157DAB" w:rsidRDefault="00157DAB" w:rsidP="00157DAB">
      <w:pPr>
        <w:tabs>
          <w:tab w:val="left" w:pos="384"/>
        </w:tabs>
        <w:ind w:right="117"/>
        <w:rPr>
          <w:rFonts w:ascii="Calibri" w:eastAsia="Calibri" w:hAnsi="Calibri" w:cs="Calibri"/>
          <w:sz w:val="18"/>
        </w:rPr>
      </w:pPr>
      <w:r w:rsidRPr="00157DAB">
        <w:rPr>
          <w:rFonts w:ascii="Calibri" w:eastAsia="Calibri" w:hAnsi="Calibri" w:cs="Calibri"/>
          <w:b/>
          <w:bCs/>
          <w:sz w:val="18"/>
        </w:rPr>
        <w:t>1. Netcharoensirisuk P</w:t>
      </w:r>
      <w:r w:rsidRPr="00157DAB">
        <w:rPr>
          <w:rFonts w:ascii="Calibri" w:eastAsia="Calibri" w:hAnsi="Calibri" w:cs="Calibri"/>
          <w:sz w:val="18"/>
        </w:rPr>
        <w:t>, Abrahamian C, Tang R, Chen C.C, Rosato A.S, Beyers W, Chao Y.K, Filippini A, Di Pietro S, Bartel K, Biel M, Vollmar A.M, Umehara K, De-Eknamkul W, Grimm C. 2021. Flavonoids increase melanin production and reduce proliferation, migration and invasion of melanoma cells by blocking endolysosomal/melanosomal TPC2. Scientific Reports. 11(1): 8515-8529.</w:t>
      </w:r>
    </w:p>
    <w:p w14:paraId="0F308ECC" w14:textId="41103093" w:rsidR="00157DAB" w:rsidRPr="00157DAB" w:rsidRDefault="00157DAB" w:rsidP="00157DAB">
      <w:pPr>
        <w:tabs>
          <w:tab w:val="left" w:pos="384"/>
        </w:tabs>
        <w:ind w:right="117"/>
        <w:rPr>
          <w:rFonts w:ascii="Calibri" w:eastAsia="Calibri" w:hAnsi="Calibri" w:cs="Calibri"/>
          <w:sz w:val="18"/>
        </w:rPr>
      </w:pPr>
      <w:r w:rsidRPr="00157DAB">
        <w:rPr>
          <w:rFonts w:ascii="Calibri" w:eastAsia="Calibri" w:hAnsi="Calibri" w:cs="Calibri"/>
          <w:b/>
          <w:bCs/>
          <w:sz w:val="18"/>
        </w:rPr>
        <w:t>2. Netcharoensirisuk</w:t>
      </w:r>
      <w:r w:rsidRPr="00157DAB">
        <w:rPr>
          <w:rFonts w:ascii="Calibri" w:eastAsia="Calibri" w:hAnsi="Calibri" w:cs="Calibri"/>
          <w:sz w:val="18"/>
        </w:rPr>
        <w:t xml:space="preserve"> P, Umehara K, De-Eknamkul W, Chaotham C. 2021. Cajanin Suppresses Melanin Synthesis through Modulating MITF in Human Melanin-Producing Cells. Molecules. 26(19):6040-6055.</w:t>
      </w:r>
    </w:p>
    <w:p w14:paraId="54E2E793" w14:textId="3AE576E5" w:rsidR="00157DAB" w:rsidRPr="00157DAB" w:rsidRDefault="001C0D32" w:rsidP="00157DAB">
      <w:pPr>
        <w:tabs>
          <w:tab w:val="left" w:pos="384"/>
        </w:tabs>
        <w:ind w:right="117"/>
        <w:rPr>
          <w:rFonts w:ascii="Calibri" w:eastAsia="Calibri" w:hAnsi="Calibri" w:cs="Calibri"/>
          <w:sz w:val="18"/>
        </w:rPr>
      </w:pPr>
      <w:r w:rsidRPr="001C0D32">
        <w:rPr>
          <w:noProof/>
        </w:rPr>
        <w:drawing>
          <wp:anchor distT="0" distB="0" distL="114300" distR="114300" simplePos="0" relativeHeight="251622912" behindDoc="0" locked="0" layoutInCell="1" allowOverlap="1" wp14:anchorId="46A99C85" wp14:editId="21D18760">
            <wp:simplePos x="0" y="0"/>
            <wp:positionH relativeFrom="column">
              <wp:posOffset>-1871980</wp:posOffset>
            </wp:positionH>
            <wp:positionV relativeFrom="paragraph">
              <wp:posOffset>5661432</wp:posOffset>
            </wp:positionV>
            <wp:extent cx="1463341" cy="1054328"/>
            <wp:effectExtent l="0" t="0" r="3810" b="0"/>
            <wp:wrapNone/>
            <wp:docPr id="17" name="Picture 16" descr="A picture containing text&#10;&#10;Description automatically generated">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94834B8-D175-4113-80B0-EB65D44C0F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A picture containing text&#10;&#10;Description automatically generated">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94834B8-D175-4113-80B0-EB65D44C0F38}"/>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1465527" cy="1055903"/>
                    </a:xfrm>
                    <a:prstGeom prst="rect">
                      <a:avLst/>
                    </a:prstGeom>
                    <a:solidFill>
                      <a:schemeClr val="bg1"/>
                    </a:solidFill>
                  </pic:spPr>
                </pic:pic>
              </a:graphicData>
            </a:graphic>
            <wp14:sizeRelH relativeFrom="margin">
              <wp14:pctWidth>0</wp14:pctWidth>
            </wp14:sizeRelH>
            <wp14:sizeRelV relativeFrom="margin">
              <wp14:pctHeight>0</wp14:pctHeight>
            </wp14:sizeRelV>
          </wp:anchor>
        </w:drawing>
      </w:r>
      <w:r w:rsidR="00157DAB" w:rsidRPr="00157DAB">
        <w:rPr>
          <w:rFonts w:ascii="Calibri" w:eastAsia="Calibri" w:hAnsi="Calibri" w:cs="Calibri"/>
          <w:b/>
          <w:bCs/>
          <w:sz w:val="18"/>
        </w:rPr>
        <w:t>3. Netcharoensirisuk P</w:t>
      </w:r>
      <w:r w:rsidR="00157DAB" w:rsidRPr="00157DAB">
        <w:rPr>
          <w:rFonts w:ascii="Calibri" w:eastAsia="Calibri" w:hAnsi="Calibri" w:cs="Calibri"/>
          <w:sz w:val="18"/>
        </w:rPr>
        <w:t>, Puthong S, Dubas S, Palaga T, and Komolpis K. 2016. Effect of capping agents on the cytotoxicity of silver nanoparticles in human normal and cancer skin cell lines. Journal of Nanoparticle Research. 18(11)</w:t>
      </w:r>
    </w:p>
    <w:p w14:paraId="1FDAC679" w14:textId="13B54320" w:rsidR="00157DAB" w:rsidRPr="00157DAB" w:rsidRDefault="00825A4A" w:rsidP="00157DAB">
      <w:pPr>
        <w:tabs>
          <w:tab w:val="left" w:pos="384"/>
        </w:tabs>
        <w:ind w:right="117"/>
        <w:rPr>
          <w:rFonts w:ascii="Calibri" w:eastAsia="Calibri" w:hAnsi="Calibri" w:cs="Calibri"/>
          <w:sz w:val="18"/>
        </w:rPr>
      </w:pPr>
      <w:r w:rsidRPr="00825A4A">
        <w:rPr>
          <w:rFonts w:ascii="Calibri" w:eastAsia="Calibri" w:hAnsi="Calibri" w:cs="Calibri"/>
          <w:b/>
          <w:bCs/>
          <w:sz w:val="18"/>
        </w:rPr>
        <w:t>4.</w:t>
      </w:r>
      <w:r>
        <w:rPr>
          <w:rFonts w:ascii="Calibri" w:eastAsia="Calibri" w:hAnsi="Calibri" w:cs="Calibri"/>
          <w:sz w:val="18"/>
        </w:rPr>
        <w:t xml:space="preserve"> </w:t>
      </w:r>
      <w:r w:rsidR="00157DAB" w:rsidRPr="00157DAB">
        <w:rPr>
          <w:rFonts w:ascii="Calibri" w:eastAsia="Calibri" w:hAnsi="Calibri" w:cs="Calibri"/>
          <w:sz w:val="18"/>
        </w:rPr>
        <w:t xml:space="preserve">Karnsomwan W, </w:t>
      </w:r>
      <w:r w:rsidR="00157DAB" w:rsidRPr="00825A4A">
        <w:rPr>
          <w:rFonts w:ascii="Calibri" w:eastAsia="Calibri" w:hAnsi="Calibri" w:cs="Calibri"/>
          <w:b/>
          <w:bCs/>
          <w:sz w:val="18"/>
        </w:rPr>
        <w:t>Netcharoensirisuk P</w:t>
      </w:r>
      <w:r w:rsidR="00157DAB" w:rsidRPr="00157DAB">
        <w:rPr>
          <w:rFonts w:ascii="Calibri" w:eastAsia="Calibri" w:hAnsi="Calibri" w:cs="Calibri"/>
          <w:sz w:val="18"/>
        </w:rPr>
        <w:t>, Rungrotmongkol T, De-Eknamkul W, and Chamni S. 2017. Synthesis, Biological Evaluation and Molecular Docking of Avicequinone C Analogues as Potential Steroid 5α-Reductase Inhibitors. Chemical and Pharmaceutical Bulletin. 65(3):253-260.</w:t>
      </w:r>
    </w:p>
    <w:p w14:paraId="569CF545" w14:textId="08CF8095" w:rsidR="00AE3E37" w:rsidRPr="008756E6" w:rsidRDefault="00825A4A" w:rsidP="00157DAB">
      <w:pPr>
        <w:tabs>
          <w:tab w:val="left" w:pos="384"/>
        </w:tabs>
        <w:ind w:right="117"/>
      </w:pPr>
      <w:r w:rsidRPr="00825A4A">
        <w:rPr>
          <w:rFonts w:ascii="Calibri" w:eastAsia="Calibri" w:hAnsi="Calibri" w:cs="Calibri"/>
          <w:b/>
          <w:bCs/>
          <w:sz w:val="18"/>
        </w:rPr>
        <w:t>5.</w:t>
      </w:r>
      <w:r>
        <w:rPr>
          <w:rFonts w:ascii="Calibri" w:eastAsia="Calibri" w:hAnsi="Calibri" w:cs="Calibri"/>
          <w:sz w:val="18"/>
        </w:rPr>
        <w:t xml:space="preserve"> </w:t>
      </w:r>
      <w:r w:rsidR="00157DAB" w:rsidRPr="00157DAB">
        <w:rPr>
          <w:rFonts w:ascii="Calibri" w:eastAsia="Calibri" w:hAnsi="Calibri" w:cs="Calibri"/>
          <w:sz w:val="18"/>
        </w:rPr>
        <w:t xml:space="preserve">Saikeaw R, Bijaisoradat O, </w:t>
      </w:r>
      <w:r w:rsidR="00157DAB" w:rsidRPr="00825A4A">
        <w:rPr>
          <w:rFonts w:ascii="Calibri" w:eastAsia="Calibri" w:hAnsi="Calibri" w:cs="Calibri"/>
          <w:b/>
          <w:bCs/>
          <w:sz w:val="18"/>
        </w:rPr>
        <w:t>Netcharoensirisuk P</w:t>
      </w:r>
      <w:r w:rsidR="00157DAB" w:rsidRPr="00157DAB">
        <w:rPr>
          <w:rFonts w:ascii="Calibri" w:eastAsia="Calibri" w:hAnsi="Calibri" w:cs="Calibri"/>
          <w:sz w:val="18"/>
        </w:rPr>
        <w:t>, and Dubas S. 2016. Improved pH Sensing of Curcumin Loaded Polyelectrolyte Multilayers Thin Films. Sensor Letters. 14:572-576.</w:t>
      </w:r>
    </w:p>
    <w:p w14:paraId="5E7A4AB5" w14:textId="2162244C"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1490D826" w14:textId="679C344F" w:rsidR="00AE3E37" w:rsidRDefault="00AE3E37">
      <w:pPr>
        <w:pStyle w:val="BodyText"/>
        <w:rPr>
          <w:rFonts w:ascii="Calibri"/>
          <w:sz w:val="20"/>
        </w:rPr>
      </w:pPr>
    </w:p>
    <w:p w14:paraId="13C0EDD8" w14:textId="1ED45AD3"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21A284D4" wp14:editId="341E3FC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F56B6A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E72BE43" w14:textId="6D05D881" w:rsidR="001C0D32" w:rsidRDefault="00726800" w:rsidP="00404E5B">
      <w:pPr>
        <w:spacing w:before="92"/>
        <w:ind w:right="4234"/>
        <w:rPr>
          <w:noProof/>
        </w:rPr>
      </w:pPr>
      <w:r w:rsidRPr="001C0D32">
        <w:rPr>
          <w:noProof/>
        </w:rPr>
        <w:drawing>
          <wp:anchor distT="0" distB="0" distL="114300" distR="114300" simplePos="0" relativeHeight="251686400" behindDoc="0" locked="0" layoutInCell="1" allowOverlap="1" wp14:anchorId="7EA5EBB2" wp14:editId="4091A10F">
            <wp:simplePos x="0" y="0"/>
            <wp:positionH relativeFrom="column">
              <wp:posOffset>3924301</wp:posOffset>
            </wp:positionH>
            <wp:positionV relativeFrom="paragraph">
              <wp:posOffset>43815</wp:posOffset>
            </wp:positionV>
            <wp:extent cx="450850" cy="677764"/>
            <wp:effectExtent l="0" t="0" r="6350" b="8255"/>
            <wp:wrapNone/>
            <wp:docPr id="26" name="Picture 25" descr="A picture containing text&#10;&#10;Description automatically generated">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59B1E68-9B34-4918-99D2-30A70237E4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descr="A picture containing text&#10;&#10;Description automatically generated">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59B1E68-9B34-4918-99D2-30A70237E46F}"/>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1433" cy="678640"/>
                    </a:xfrm>
                    <a:prstGeom prst="rect">
                      <a:avLst/>
                    </a:prstGeom>
                  </pic:spPr>
                </pic:pic>
              </a:graphicData>
            </a:graphic>
            <wp14:sizeRelH relativeFrom="margin">
              <wp14:pctWidth>0</wp14:pctWidth>
            </wp14:sizeRelH>
            <wp14:sizeRelV relativeFrom="margin">
              <wp14:pctHeight>0</wp14:pctHeight>
            </wp14:sizeRelV>
          </wp:anchor>
        </w:drawing>
      </w:r>
      <w:r w:rsidR="001F4FDA" w:rsidRPr="001C0D32">
        <w:rPr>
          <w:noProof/>
        </w:rPr>
        <w:drawing>
          <wp:anchor distT="0" distB="0" distL="114300" distR="114300" simplePos="0" relativeHeight="251728384" behindDoc="0" locked="0" layoutInCell="1" allowOverlap="1" wp14:anchorId="52B1E9F9" wp14:editId="50DB864C">
            <wp:simplePos x="0" y="0"/>
            <wp:positionH relativeFrom="column">
              <wp:posOffset>5158740</wp:posOffset>
            </wp:positionH>
            <wp:positionV relativeFrom="paragraph">
              <wp:posOffset>120015</wp:posOffset>
            </wp:positionV>
            <wp:extent cx="889635" cy="547370"/>
            <wp:effectExtent l="0" t="0" r="5715" b="5080"/>
            <wp:wrapThrough wrapText="bothSides">
              <wp:wrapPolygon edited="0">
                <wp:start x="0" y="0"/>
                <wp:lineTo x="0" y="21049"/>
                <wp:lineTo x="21276" y="21049"/>
                <wp:lineTo x="21276" y="0"/>
                <wp:lineTo x="0" y="0"/>
              </wp:wrapPolygon>
            </wp:wrapThrough>
            <wp:docPr id="10" name="Picture 16" descr="A picture containing text&#10;&#10;Description automatically generated">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94834B8-D175-4113-80B0-EB65D44C0F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A picture containing text&#10;&#10;Description automatically generated">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94834B8-D175-4113-80B0-EB65D44C0F38}"/>
                        </a:ext>
                      </a:extLst>
                    </pic:cNvPr>
                    <pic:cNvPicPr>
                      <a:picLocks noChangeAspect="1"/>
                    </pic:cNvPicPr>
                  </pic:nvPicPr>
                  <pic:blipFill rotWithShape="1">
                    <a:blip r:embed="rId12" cstate="print">
                      <a:extLst>
                        <a:ext uri="{28A0092B-C50C-407E-A947-70E740481C1C}">
                          <a14:useLocalDpi xmlns:a14="http://schemas.microsoft.com/office/drawing/2010/main" val="0"/>
                        </a:ext>
                      </a:extLst>
                    </a:blip>
                    <a:srcRect b="14717"/>
                    <a:stretch/>
                  </pic:blipFill>
                  <pic:spPr bwMode="auto">
                    <a:xfrm>
                      <a:off x="0" y="0"/>
                      <a:ext cx="889635" cy="547370"/>
                    </a:xfrm>
                    <a:prstGeom prst="rect">
                      <a:avLst/>
                    </a:prstGeom>
                    <a:solidFill>
                      <a:schemeClr val="bg1"/>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F4FDA" w:rsidRPr="001F4FDA">
        <w:rPr>
          <w:rFonts w:ascii="Arial"/>
          <w:noProof/>
          <w:sz w:val="14"/>
        </w:rPr>
        <w:drawing>
          <wp:anchor distT="0" distB="0" distL="114300" distR="114300" simplePos="0" relativeHeight="251747840" behindDoc="0" locked="0" layoutInCell="1" allowOverlap="1" wp14:anchorId="179D4384" wp14:editId="144FC44D">
            <wp:simplePos x="0" y="0"/>
            <wp:positionH relativeFrom="column">
              <wp:posOffset>5997575</wp:posOffset>
            </wp:positionH>
            <wp:positionV relativeFrom="paragraph">
              <wp:posOffset>213995</wp:posOffset>
            </wp:positionV>
            <wp:extent cx="853440" cy="536575"/>
            <wp:effectExtent l="0" t="0" r="3810" b="0"/>
            <wp:wrapThrough wrapText="bothSides">
              <wp:wrapPolygon edited="0">
                <wp:start x="0" y="0"/>
                <wp:lineTo x="0" y="20705"/>
                <wp:lineTo x="21214" y="20705"/>
                <wp:lineTo x="21214" y="0"/>
                <wp:lineTo x="0" y="0"/>
              </wp:wrapPolygon>
            </wp:wrapThrough>
            <wp:docPr id="11" name="Picture 19" descr="Logo&#10;&#10;Description automatically generated">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F8E026E-34C8-4E05-BD6D-F39DEDBE4F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descr="Logo&#10;&#10;Description automatically generated">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F8E026E-34C8-4E05-BD6D-F39DEDBE4FDB}"/>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53440" cy="536575"/>
                    </a:xfrm>
                    <a:prstGeom prst="rect">
                      <a:avLst/>
                    </a:prstGeom>
                  </pic:spPr>
                </pic:pic>
              </a:graphicData>
            </a:graphic>
            <wp14:sizeRelH relativeFrom="margin">
              <wp14:pctWidth>0</wp14:pctWidth>
            </wp14:sizeRelH>
            <wp14:sizeRelV relativeFrom="margin">
              <wp14:pctHeight>0</wp14:pctHeight>
            </wp14:sizeRelV>
          </wp:anchor>
        </w:drawing>
      </w:r>
      <w:r w:rsidR="001C0D32" w:rsidRPr="002B1A1D">
        <w:rPr>
          <w:rFonts w:ascii="Times New Roman" w:hAnsi="Times New Roman" w:cs="Times New Roman"/>
          <w:b/>
          <w:bCs/>
          <w:noProof/>
          <w:sz w:val="36"/>
          <w:szCs w:val="44"/>
        </w:rPr>
        <w:drawing>
          <wp:anchor distT="0" distB="0" distL="114300" distR="114300" simplePos="0" relativeHeight="251612672" behindDoc="1" locked="0" layoutInCell="1" allowOverlap="1" wp14:anchorId="17EC9673" wp14:editId="5034572D">
            <wp:simplePos x="0" y="0"/>
            <wp:positionH relativeFrom="column">
              <wp:posOffset>48260</wp:posOffset>
            </wp:positionH>
            <wp:positionV relativeFrom="paragraph">
              <wp:posOffset>6985</wp:posOffset>
            </wp:positionV>
            <wp:extent cx="586740" cy="661670"/>
            <wp:effectExtent l="0" t="0" r="3810" b="5080"/>
            <wp:wrapThrough wrapText="bothSides">
              <wp:wrapPolygon edited="0">
                <wp:start x="0" y="0"/>
                <wp:lineTo x="0" y="21144"/>
                <wp:lineTo x="21039" y="21144"/>
                <wp:lineTo x="21039"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6740" cy="661670"/>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p>
    <w:p w14:paraId="1ED7F08E" w14:textId="49B5A8F4" w:rsidR="001C0D32" w:rsidRDefault="001C0D32" w:rsidP="00404E5B">
      <w:pPr>
        <w:spacing w:before="92"/>
        <w:ind w:right="4234"/>
        <w:rPr>
          <w:noProof/>
        </w:rPr>
      </w:pPr>
    </w:p>
    <w:p w14:paraId="37F15921" w14:textId="77777777" w:rsidR="001C0D32" w:rsidRDefault="001C0D32" w:rsidP="00404E5B">
      <w:pPr>
        <w:spacing w:before="92"/>
        <w:ind w:right="4234"/>
        <w:rPr>
          <w:noProof/>
        </w:rPr>
      </w:pPr>
    </w:p>
    <w:p w14:paraId="6B71283F" w14:textId="638D7828" w:rsidR="00AE3E37" w:rsidRDefault="00A9710C" w:rsidP="00404E5B">
      <w:pPr>
        <w:spacing w:before="92"/>
        <w:ind w:right="4234"/>
        <w:rPr>
          <w:rFonts w:ascii="Arial"/>
        </w:rPr>
      </w:pPr>
      <w:r>
        <w:rPr>
          <w:rFonts w:ascii="Arial"/>
          <w:color w:val="BF5A14"/>
        </w:rPr>
        <w:t>Biography</w:t>
      </w:r>
      <w:r w:rsidR="00A52075" w:rsidRPr="00A52075">
        <w:rPr>
          <w:rFonts w:ascii="Times New Roman" w:hAnsi="Times New Roman" w:cs="Times New Roman"/>
          <w:sz w:val="24"/>
          <w:szCs w:val="24"/>
        </w:rPr>
        <w:t xml:space="preserve"> </w:t>
      </w:r>
    </w:p>
    <w:p w14:paraId="4B914FB7" w14:textId="676B7AC6" w:rsidR="001F4FDA" w:rsidRDefault="001F4FDA" w:rsidP="001F4FDA">
      <w:pPr>
        <w:spacing w:before="62"/>
        <w:ind w:right="4235"/>
        <w:jc w:val="both"/>
        <w:rPr>
          <w:rFonts w:ascii="Arial"/>
          <w:sz w:val="14"/>
        </w:rPr>
      </w:pPr>
      <w:r w:rsidRPr="001F4FDA">
        <w:rPr>
          <w:rFonts w:ascii="Arial"/>
          <w:sz w:val="14"/>
        </w:rPr>
        <w:t xml:space="preserve">RGJ-19 recipient, </w:t>
      </w:r>
      <w:r w:rsidR="00726800">
        <w:rPr>
          <w:rFonts w:ascii="Arial"/>
          <w:sz w:val="14"/>
        </w:rPr>
        <w:t xml:space="preserve">Program in Biotechnology, </w:t>
      </w:r>
      <w:r w:rsidRPr="001F4FDA">
        <w:rPr>
          <w:rFonts w:ascii="Arial"/>
          <w:sz w:val="14"/>
        </w:rPr>
        <w:t>Kasetsart University (B.Sc., 2011),</w:t>
      </w:r>
      <w:r>
        <w:rPr>
          <w:rFonts w:ascii="Arial"/>
          <w:sz w:val="14"/>
        </w:rPr>
        <w:t xml:space="preserve"> </w:t>
      </w:r>
      <w:r w:rsidR="00726800">
        <w:rPr>
          <w:rFonts w:ascii="Arial"/>
          <w:sz w:val="14"/>
        </w:rPr>
        <w:t xml:space="preserve">Program in Biotechnology, </w:t>
      </w:r>
      <w:r w:rsidRPr="001F4FDA">
        <w:rPr>
          <w:rFonts w:ascii="Arial"/>
          <w:sz w:val="14"/>
        </w:rPr>
        <w:t>Chulalongkorn University (M.Sc., 2014),</w:t>
      </w:r>
      <w:r w:rsidR="00726800">
        <w:rPr>
          <w:rFonts w:ascii="Arial"/>
          <w:sz w:val="14"/>
        </w:rPr>
        <w:t xml:space="preserve"> </w:t>
      </w:r>
      <w:r w:rsidR="00726800" w:rsidRPr="00726800">
        <w:rPr>
          <w:rFonts w:ascii="Arial"/>
          <w:sz w:val="14"/>
        </w:rPr>
        <w:t>Ph.D. program in Biomedicinal Chemistry, Department of Biochemistry and Microbiology, Faculty of Pharmaceutical Sciences, Chulalongkorn University</w:t>
      </w:r>
      <w:r w:rsidR="00726800">
        <w:rPr>
          <w:rFonts w:ascii="Arial"/>
          <w:sz w:val="14"/>
        </w:rPr>
        <w:t xml:space="preserve"> (2021), </w:t>
      </w:r>
      <w:r w:rsidR="00726800" w:rsidRPr="00726800">
        <w:rPr>
          <w:rFonts w:ascii="Arial"/>
          <w:sz w:val="14"/>
        </w:rPr>
        <w:t>TRF-DAAD Research-based Mobility Scheme (2019/2020).</w:t>
      </w:r>
      <w:r w:rsidR="00726800">
        <w:rPr>
          <w:rFonts w:ascii="Arial"/>
          <w:sz w:val="14"/>
        </w:rPr>
        <w:t xml:space="preserve"> Focus of interest (Cancer</w:t>
      </w:r>
      <w:r w:rsidR="009F5AF2">
        <w:rPr>
          <w:rFonts w:ascii="Arial"/>
          <w:sz w:val="14"/>
        </w:rPr>
        <w:t xml:space="preserve"> cells, melanoma, melanogenesis, melanocyte stem cells)</w:t>
      </w:r>
    </w:p>
    <w:p w14:paraId="7F2F9FFA" w14:textId="77777777" w:rsidR="001F4FDA" w:rsidRDefault="001F4FDA">
      <w:pPr>
        <w:spacing w:before="62"/>
        <w:ind w:left="4217" w:right="4235"/>
        <w:jc w:val="center"/>
        <w:rPr>
          <w:rFonts w:ascii="Arial"/>
          <w:sz w:val="14"/>
        </w:rPr>
      </w:pPr>
    </w:p>
    <w:p w14:paraId="010B0AF9" w14:textId="56519325" w:rsidR="00AE3E37" w:rsidRDefault="00A9710C" w:rsidP="0063584A">
      <w:pPr>
        <w:spacing w:before="62"/>
        <w:ind w:left="3600" w:right="4235"/>
        <w:rPr>
          <w:rFonts w:ascii="Arial"/>
          <w:sz w:val="14"/>
        </w:rPr>
      </w:pPr>
      <w:r>
        <w:rPr>
          <w:rFonts w:ascii="Arial"/>
          <w:sz w:val="14"/>
        </w:rPr>
        <w:t xml:space="preserve">Email: </w:t>
      </w:r>
      <w:hyperlink r:id="rId15" w:history="1">
        <w:r w:rsidR="0063584A" w:rsidRPr="00114B6C">
          <w:rPr>
            <w:rStyle w:val="Hyperlink"/>
            <w:rFonts w:ascii="Arial"/>
            <w:sz w:val="14"/>
          </w:rPr>
          <w:t>pnetcharoensirisuk@gmail.com</w:t>
        </w:r>
      </w:hyperlink>
    </w:p>
    <w:p w14:paraId="0728A11F" w14:textId="367ACB22" w:rsidR="00EA7D51" w:rsidRPr="0063584A" w:rsidRDefault="00292ED9" w:rsidP="0063584A">
      <w:pPr>
        <w:pStyle w:val="BodyText"/>
        <w:spacing w:before="2"/>
        <w:rPr>
          <w:rFonts w:ascii="Arial"/>
          <w:sz w:val="19"/>
        </w:rPr>
      </w:pPr>
      <w:r>
        <w:rPr>
          <w:noProof/>
        </w:rPr>
        <mc:AlternateContent>
          <mc:Choice Requires="wps">
            <w:drawing>
              <wp:anchor distT="0" distB="0" distL="0" distR="0" simplePos="0" relativeHeight="251570688" behindDoc="0" locked="0" layoutInCell="1" allowOverlap="1" wp14:anchorId="6C5D4CA7" wp14:editId="6731FCB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14C6E71" id="Line 3" o:spid="_x0000_s1026" style="position:absolute;z-index:251570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3CB9DC08" w14:textId="7BDD754F" w:rsidR="00EA7D51" w:rsidRPr="00F35A62" w:rsidRDefault="00EA7D51" w:rsidP="00EA7D51">
      <w:pPr>
        <w:autoSpaceDE w:val="0"/>
        <w:autoSpaceDN w:val="0"/>
        <w:adjustRightInd w:val="0"/>
        <w:rPr>
          <w:b/>
          <w:sz w:val="20"/>
          <w:szCs w:val="20"/>
          <w:lang w:val="en-NZ"/>
        </w:rPr>
      </w:pPr>
      <w:r w:rsidRPr="00F35A62">
        <w:rPr>
          <w:b/>
          <w:sz w:val="20"/>
          <w:szCs w:val="20"/>
          <w:lang w:val="en-NZ"/>
        </w:rPr>
        <w:lastRenderedPageBreak/>
        <w:t xml:space="preserve">Presenting author details </w:t>
      </w:r>
      <w:r w:rsidRPr="00F35A62">
        <w:rPr>
          <w:b/>
          <w:sz w:val="20"/>
          <w:szCs w:val="20"/>
          <w:lang w:val="en-NZ"/>
        </w:rPr>
        <w:br/>
      </w:r>
      <w:r w:rsidRPr="00F35A62">
        <w:rPr>
          <w:sz w:val="20"/>
          <w:szCs w:val="20"/>
          <w:lang w:val="en-NZ"/>
        </w:rPr>
        <w:t xml:space="preserve">Full name: </w:t>
      </w:r>
      <w:r w:rsidR="005C1105">
        <w:rPr>
          <w:sz w:val="20"/>
          <w:szCs w:val="20"/>
          <w:lang w:val="en-NZ"/>
        </w:rPr>
        <w:t>Ponsawan Netcharoensirisuk</w:t>
      </w:r>
      <w:r w:rsidRPr="00F35A62">
        <w:rPr>
          <w:sz w:val="20"/>
          <w:szCs w:val="20"/>
          <w:lang w:val="en-NZ"/>
        </w:rPr>
        <w:br/>
        <w:t>Contact number:</w:t>
      </w:r>
      <w:r w:rsidR="005C1105">
        <w:rPr>
          <w:sz w:val="20"/>
          <w:szCs w:val="20"/>
          <w:lang w:val="en-NZ"/>
        </w:rPr>
        <w:t xml:space="preserve"> +66 873669261</w:t>
      </w:r>
      <w:r w:rsidRPr="00F35A62">
        <w:rPr>
          <w:sz w:val="20"/>
          <w:szCs w:val="20"/>
          <w:lang w:val="en-NZ"/>
        </w:rPr>
        <w:br/>
        <w:t>Twitter account:</w:t>
      </w:r>
      <w:r w:rsidRPr="00F35A62">
        <w:rPr>
          <w:sz w:val="20"/>
          <w:szCs w:val="20"/>
          <w:lang w:val="en-NZ"/>
        </w:rPr>
        <w:br/>
        <w:t>Linked In account:</w:t>
      </w:r>
    </w:p>
    <w:p w14:paraId="413AFA78" w14:textId="1B7F8495"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r w:rsidR="005C1105">
        <w:rPr>
          <w:sz w:val="20"/>
          <w:szCs w:val="20"/>
          <w:lang w:val="en-NZ"/>
        </w:rPr>
        <w:t>: Poster presentation</w:t>
      </w:r>
      <w:r w:rsidRPr="00F35A62">
        <w:rPr>
          <w:sz w:val="20"/>
          <w:szCs w:val="20"/>
          <w:lang w:val="en-NZ"/>
        </w:rPr>
        <w:br/>
      </w:r>
    </w:p>
    <w:p w14:paraId="0EA7A616" w14:textId="77777777" w:rsidR="00EA7D51" w:rsidRPr="000534A1" w:rsidRDefault="00EA7D51" w:rsidP="0063584A">
      <w:pPr>
        <w:spacing w:before="39"/>
        <w:rPr>
          <w:rFonts w:ascii="Minion Pro"/>
          <w:b/>
          <w:sz w:val="20"/>
        </w:rPr>
        <w:sectPr w:rsidR="00EA7D51" w:rsidRPr="000534A1" w:rsidSect="008E5477">
          <w:type w:val="continuous"/>
          <w:pgSz w:w="11910" w:h="16840"/>
          <w:pgMar w:top="995" w:right="600" w:bottom="840" w:left="620" w:header="720" w:footer="720" w:gutter="0"/>
          <w:cols w:space="720"/>
        </w:sectPr>
      </w:pPr>
    </w:p>
    <w:p w14:paraId="509B6153"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288F98" w14:textId="77777777" w:rsidR="003518D9" w:rsidRDefault="003518D9">
      <w:r>
        <w:separator/>
      </w:r>
    </w:p>
  </w:endnote>
  <w:endnote w:type="continuationSeparator" w:id="0">
    <w:p w14:paraId="31783880" w14:textId="77777777" w:rsidR="003518D9" w:rsidRDefault="00351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ngsana New">
    <w:altName w:val="Arial Unicode MS"/>
    <w:panose1 w:val="02020603050405020304"/>
    <w:charset w:val="DE"/>
    <w:family w:val="roman"/>
    <w:notTrueType/>
    <w:pitch w:val="variable"/>
    <w:sig w:usb0="01000000" w:usb1="00000000" w:usb2="00000000" w:usb3="00000000" w:csb0="0001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9E8E8E"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32ADD2C" wp14:editId="7E73D5C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9CF2A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715BAB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32ADD2C"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539CF2A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715BAB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CDDD3C4" wp14:editId="2511EC5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67400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90FA55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DDD3C4"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7967400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90FA55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BA44276" wp14:editId="27966A9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55A1F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B33783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A44276"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2755A1F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B33783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03C29D" w14:textId="77777777" w:rsidR="003518D9" w:rsidRDefault="003518D9">
      <w:r>
        <w:separator/>
      </w:r>
    </w:p>
  </w:footnote>
  <w:footnote w:type="continuationSeparator" w:id="0">
    <w:p w14:paraId="5892A9ED" w14:textId="77777777" w:rsidR="003518D9" w:rsidRDefault="003518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45817"/>
    <w:rsid w:val="00146654"/>
    <w:rsid w:val="00157DAB"/>
    <w:rsid w:val="001C0D32"/>
    <w:rsid w:val="001F4FDA"/>
    <w:rsid w:val="00292ED9"/>
    <w:rsid w:val="002A279B"/>
    <w:rsid w:val="003518D9"/>
    <w:rsid w:val="00351D9B"/>
    <w:rsid w:val="00380299"/>
    <w:rsid w:val="00404E5B"/>
    <w:rsid w:val="00414F7B"/>
    <w:rsid w:val="004355DC"/>
    <w:rsid w:val="004749B4"/>
    <w:rsid w:val="00475D20"/>
    <w:rsid w:val="00494130"/>
    <w:rsid w:val="004F3523"/>
    <w:rsid w:val="00590D60"/>
    <w:rsid w:val="005973B9"/>
    <w:rsid w:val="005B3A56"/>
    <w:rsid w:val="005C1105"/>
    <w:rsid w:val="006060CE"/>
    <w:rsid w:val="0061505C"/>
    <w:rsid w:val="00622E4F"/>
    <w:rsid w:val="0063497F"/>
    <w:rsid w:val="0063584A"/>
    <w:rsid w:val="00714354"/>
    <w:rsid w:val="00726800"/>
    <w:rsid w:val="00774F7B"/>
    <w:rsid w:val="007E0D7E"/>
    <w:rsid w:val="00825A4A"/>
    <w:rsid w:val="00873DF0"/>
    <w:rsid w:val="008756E6"/>
    <w:rsid w:val="00897EC5"/>
    <w:rsid w:val="008A0763"/>
    <w:rsid w:val="008E5477"/>
    <w:rsid w:val="008E7292"/>
    <w:rsid w:val="009B2D44"/>
    <w:rsid w:val="009F5AF2"/>
    <w:rsid w:val="00A07E82"/>
    <w:rsid w:val="00A52075"/>
    <w:rsid w:val="00A9710C"/>
    <w:rsid w:val="00AE3E37"/>
    <w:rsid w:val="00B21A57"/>
    <w:rsid w:val="00BC575F"/>
    <w:rsid w:val="00BE6743"/>
    <w:rsid w:val="00C33602"/>
    <w:rsid w:val="00C56C74"/>
    <w:rsid w:val="00CD6F55"/>
    <w:rsid w:val="00DE3104"/>
    <w:rsid w:val="00DE6170"/>
    <w:rsid w:val="00E30AAC"/>
    <w:rsid w:val="00E95D97"/>
    <w:rsid w:val="00EA7D51"/>
    <w:rsid w:val="00EC62FC"/>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BF2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63584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635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mailto:pnetcharoensirisuk@gmail.com" TargetMode="Externa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648</Words>
  <Characters>3698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 World Hematology 2019</cp:lastModifiedBy>
  <cp:revision>2</cp:revision>
  <dcterms:created xsi:type="dcterms:W3CDTF">2022-02-03T06:02:00Z</dcterms:created>
  <dcterms:modified xsi:type="dcterms:W3CDTF">2022-02-03T06:02:00Z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