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AC5B3E" w14:textId="77777777" w:rsidR="004B78D8" w:rsidRDefault="004B78D8" w:rsidP="004B78D8">
      <w:pPr>
        <w:rPr>
          <w:rFonts w:asciiTheme="majorBidi" w:hAnsiTheme="majorBidi" w:cstheme="majorBidi"/>
          <w:b/>
          <w:bCs/>
          <w:sz w:val="56"/>
          <w:szCs w:val="56"/>
          <w:u w:val="single"/>
        </w:rPr>
      </w:pPr>
      <w:r>
        <w:rPr>
          <w:rFonts w:asciiTheme="majorBidi" w:hAnsiTheme="majorBidi" w:cstheme="majorBidi"/>
          <w:b/>
          <w:sz w:val="32"/>
          <w:szCs w:val="32"/>
        </w:rPr>
        <w:t>Evaluation of Socket Shield Technique with Immediate Implant Placement in the Esthetic Zone</w:t>
      </w:r>
    </w:p>
    <w:p w14:paraId="374AC3DD" w14:textId="5D6A1BCE" w:rsidR="0078738A" w:rsidRDefault="0078738A" w:rsidP="004B78D8">
      <w:pPr>
        <w:pStyle w:val="BodyText"/>
        <w:spacing w:before="73" w:line="198" w:lineRule="exact"/>
        <w:ind w:left="100" w:right="5987"/>
        <w:rPr>
          <w:rFonts w:ascii="Arial"/>
        </w:rPr>
      </w:pPr>
      <w:bookmarkStart w:id="0" w:name="_GoBack"/>
      <w:r>
        <w:rPr>
          <w:rFonts w:ascii="Arial"/>
        </w:rPr>
        <w:t>Dr</w:t>
      </w:r>
      <w:r w:rsidR="004B78D8">
        <w:rPr>
          <w:rFonts w:ascii="Arial"/>
        </w:rPr>
        <w:t>. Mohamed Elseasy</w:t>
      </w:r>
      <w:bookmarkEnd w:id="0"/>
      <w:r w:rsidR="005973B9">
        <w:rPr>
          <w:rFonts w:ascii="Arial"/>
        </w:rPr>
        <w:t>,</w:t>
      </w:r>
      <w:r w:rsidR="004B78D8">
        <w:rPr>
          <w:rFonts w:ascii="Arial"/>
        </w:rPr>
        <w:t xml:space="preserve"> </w:t>
      </w:r>
      <w:r w:rsidR="004B78D8" w:rsidRPr="004B78D8">
        <w:rPr>
          <w:rFonts w:ascii="Arial"/>
        </w:rPr>
        <w:t>B.D.S</w:t>
      </w:r>
      <w:r w:rsidR="005973B9">
        <w:rPr>
          <w:rFonts w:ascii="Arial"/>
        </w:rPr>
        <w:t xml:space="preserve">, </w:t>
      </w:r>
      <w:r w:rsidR="004B78D8" w:rsidRPr="004B78D8">
        <w:rPr>
          <w:rFonts w:ascii="Arial"/>
        </w:rPr>
        <w:t>M.D.S</w:t>
      </w:r>
      <w:r w:rsidR="00A93848">
        <w:rPr>
          <w:rFonts w:ascii="Arial"/>
        </w:rPr>
        <w:t xml:space="preserve"> Oral &amp; Maxillofacial Surgery.</w:t>
      </w:r>
      <w:r w:rsidR="004B78D8" w:rsidRPr="004B78D8">
        <w:rPr>
          <w:rFonts w:ascii="Arial"/>
        </w:rPr>
        <w:t xml:space="preserve"> Assistant Lecturer of Oral &amp; Maxillofacial Surgery, Egyptian Russian University</w:t>
      </w:r>
      <w:r w:rsidR="004B78D8">
        <w:rPr>
          <w:rFonts w:ascii="Arial"/>
        </w:rPr>
        <w:t>, Egypt</w:t>
      </w:r>
    </w:p>
    <w:p w14:paraId="4AB9A426" w14:textId="602F06B7" w:rsidR="00E47911" w:rsidRDefault="00E47911" w:rsidP="00E47911">
      <w:pPr>
        <w:pStyle w:val="BodyText"/>
        <w:spacing w:before="73" w:line="198" w:lineRule="exact"/>
        <w:ind w:left="100" w:right="5987"/>
        <w:rPr>
          <w:rFonts w:ascii="Arial"/>
        </w:rPr>
      </w:pPr>
      <w:r w:rsidRPr="00E47911">
        <w:rPr>
          <w:rFonts w:ascii="Arial"/>
        </w:rPr>
        <w:t xml:space="preserve">Dr. Mohamed </w:t>
      </w:r>
      <w:proofErr w:type="spellStart"/>
      <w:r w:rsidRPr="00E47911">
        <w:rPr>
          <w:rFonts w:ascii="Arial"/>
        </w:rPr>
        <w:t>Elsholkamy</w:t>
      </w:r>
      <w:proofErr w:type="spellEnd"/>
      <w:r>
        <w:rPr>
          <w:rFonts w:ascii="Arial"/>
        </w:rPr>
        <w:t xml:space="preserve">, </w:t>
      </w:r>
      <w:r w:rsidRPr="00E47911">
        <w:rPr>
          <w:rFonts w:ascii="Arial"/>
        </w:rPr>
        <w:t>Professor of Oral &amp; Maxillofacial Surgery</w:t>
      </w:r>
      <w:proofErr w:type="gramStart"/>
      <w:r>
        <w:rPr>
          <w:rFonts w:ascii="Arial"/>
        </w:rPr>
        <w:t>,</w:t>
      </w:r>
      <w:r w:rsidRPr="00E47911">
        <w:rPr>
          <w:rFonts w:ascii="Arial"/>
        </w:rPr>
        <w:t>Faculty</w:t>
      </w:r>
      <w:proofErr w:type="gramEnd"/>
      <w:r w:rsidRPr="00E47911">
        <w:rPr>
          <w:rFonts w:ascii="Arial"/>
        </w:rPr>
        <w:t xml:space="preserve"> of Dentistry, Suez Canal University</w:t>
      </w:r>
      <w:r w:rsidR="00A32E60">
        <w:rPr>
          <w:rFonts w:ascii="Arial"/>
        </w:rPr>
        <w:t>, Egypt</w:t>
      </w:r>
    </w:p>
    <w:p w14:paraId="4C298734" w14:textId="62A52693" w:rsidR="00A32E60" w:rsidRPr="00A32E60" w:rsidRDefault="00A32E60" w:rsidP="00A32E60">
      <w:pPr>
        <w:pStyle w:val="BodyText"/>
        <w:spacing w:before="73" w:line="198" w:lineRule="exact"/>
        <w:ind w:left="100" w:right="5987"/>
        <w:rPr>
          <w:rFonts w:ascii="Arial"/>
        </w:rPr>
      </w:pPr>
      <w:r w:rsidRPr="00A32E60">
        <w:rPr>
          <w:rFonts w:ascii="Arial"/>
        </w:rPr>
        <w:t>Dr. Khaled Tawfik</w:t>
      </w:r>
      <w:r>
        <w:rPr>
          <w:rFonts w:ascii="Arial"/>
        </w:rPr>
        <w:t xml:space="preserve">, </w:t>
      </w:r>
      <w:r w:rsidRPr="00A32E60">
        <w:rPr>
          <w:rFonts w:ascii="Arial"/>
        </w:rPr>
        <w:t>Professor of Oral &amp; Maxillofacial Surgery</w:t>
      </w:r>
      <w:r>
        <w:rPr>
          <w:rFonts w:ascii="Arial"/>
        </w:rPr>
        <w:t xml:space="preserve">, </w:t>
      </w:r>
      <w:r w:rsidRPr="00A32E60">
        <w:rPr>
          <w:rFonts w:ascii="Arial"/>
        </w:rPr>
        <w:t>Faculty of Dentistry, Cairo University</w:t>
      </w:r>
      <w:r w:rsidR="00D10067">
        <w:rPr>
          <w:rFonts w:ascii="Arial"/>
        </w:rPr>
        <w:t>, Egypt</w:t>
      </w:r>
    </w:p>
    <w:p w14:paraId="6539B32C" w14:textId="392262A8" w:rsidR="00A32E60" w:rsidRPr="00A32E60" w:rsidRDefault="00A32E60" w:rsidP="00A32E60">
      <w:pPr>
        <w:pStyle w:val="BodyText"/>
        <w:spacing w:before="73" w:line="198" w:lineRule="exact"/>
        <w:ind w:right="5987"/>
        <w:rPr>
          <w:rFonts w:ascii="Arial"/>
        </w:rPr>
      </w:pPr>
      <w:r>
        <w:rPr>
          <w:rFonts w:ascii="Arial"/>
        </w:rPr>
        <w:t xml:space="preserve">  </w:t>
      </w:r>
      <w:r w:rsidRPr="00A32E60">
        <w:rPr>
          <w:rFonts w:ascii="Arial"/>
        </w:rPr>
        <w:t xml:space="preserve">Dr. </w:t>
      </w:r>
      <w:proofErr w:type="spellStart"/>
      <w:r w:rsidRPr="00A32E60">
        <w:rPr>
          <w:rFonts w:ascii="Arial"/>
        </w:rPr>
        <w:t>Hesham</w:t>
      </w:r>
      <w:proofErr w:type="spellEnd"/>
      <w:r w:rsidRPr="00A32E60">
        <w:rPr>
          <w:rFonts w:ascii="Arial"/>
        </w:rPr>
        <w:t xml:space="preserve"> </w:t>
      </w:r>
      <w:proofErr w:type="spellStart"/>
      <w:r w:rsidRPr="00A32E60">
        <w:rPr>
          <w:rFonts w:ascii="Arial"/>
        </w:rPr>
        <w:t>Elhawary</w:t>
      </w:r>
      <w:proofErr w:type="spellEnd"/>
      <w:r>
        <w:rPr>
          <w:rFonts w:ascii="Arial"/>
        </w:rPr>
        <w:t xml:space="preserve">, </w:t>
      </w:r>
      <w:r w:rsidRPr="00A32E60">
        <w:rPr>
          <w:rFonts w:ascii="Arial"/>
        </w:rPr>
        <w:t>Professor of Oral &amp;</w:t>
      </w:r>
      <w:r w:rsidR="00D91E7D">
        <w:rPr>
          <w:rFonts w:ascii="Arial"/>
        </w:rPr>
        <w:t xml:space="preserve"> </w:t>
      </w:r>
      <w:r w:rsidRPr="00A32E60">
        <w:rPr>
          <w:rFonts w:ascii="Arial"/>
        </w:rPr>
        <w:t>Maxillofacial Surgery</w:t>
      </w:r>
      <w:proofErr w:type="gramStart"/>
      <w:r>
        <w:rPr>
          <w:rFonts w:ascii="Arial"/>
        </w:rPr>
        <w:t>,</w:t>
      </w:r>
      <w:r w:rsidRPr="00A32E60">
        <w:rPr>
          <w:rFonts w:ascii="Arial"/>
        </w:rPr>
        <w:t>Faculty</w:t>
      </w:r>
      <w:proofErr w:type="gramEnd"/>
      <w:r w:rsidRPr="00A32E60">
        <w:rPr>
          <w:rFonts w:ascii="Arial"/>
        </w:rPr>
        <w:t xml:space="preserve"> of Dentistry, Cairo University</w:t>
      </w:r>
      <w:r w:rsidR="00D10067">
        <w:rPr>
          <w:rFonts w:ascii="Arial"/>
        </w:rPr>
        <w:t>, Egypt</w:t>
      </w:r>
    </w:p>
    <w:p w14:paraId="07219717" w14:textId="61F16BE3" w:rsidR="00A32E60" w:rsidRDefault="00A32E60" w:rsidP="00A32E60">
      <w:pPr>
        <w:pStyle w:val="BodyText"/>
        <w:spacing w:before="73" w:line="198" w:lineRule="exact"/>
        <w:ind w:right="5987"/>
        <w:rPr>
          <w:rFonts w:ascii="Arial"/>
        </w:rPr>
      </w:pPr>
      <w:r>
        <w:rPr>
          <w:rFonts w:ascii="Arial"/>
        </w:rPr>
        <w:t xml:space="preserve">   </w:t>
      </w:r>
      <w:r w:rsidRPr="00A32E60">
        <w:rPr>
          <w:rFonts w:ascii="Arial"/>
        </w:rPr>
        <w:t xml:space="preserve">Dr. Tamer </w:t>
      </w:r>
      <w:proofErr w:type="spellStart"/>
      <w:r w:rsidRPr="00A32E60">
        <w:rPr>
          <w:rFonts w:ascii="Arial"/>
        </w:rPr>
        <w:t>Abd</w:t>
      </w:r>
      <w:proofErr w:type="spellEnd"/>
      <w:r w:rsidRPr="00A32E60">
        <w:rPr>
          <w:rFonts w:ascii="Arial"/>
        </w:rPr>
        <w:t xml:space="preserve"> </w:t>
      </w:r>
      <w:proofErr w:type="spellStart"/>
      <w:r w:rsidRPr="00A32E60">
        <w:rPr>
          <w:rFonts w:ascii="Arial"/>
        </w:rPr>
        <w:t>Elbari</w:t>
      </w:r>
      <w:proofErr w:type="spellEnd"/>
      <w:r>
        <w:rPr>
          <w:rFonts w:ascii="Arial"/>
        </w:rPr>
        <w:t xml:space="preserve">, </w:t>
      </w:r>
      <w:r w:rsidRPr="00A32E60">
        <w:rPr>
          <w:rFonts w:ascii="Arial"/>
        </w:rPr>
        <w:t>Professor of Oral &amp; Maxillofacial Surgery</w:t>
      </w:r>
      <w:r>
        <w:rPr>
          <w:rFonts w:ascii="Arial"/>
        </w:rPr>
        <w:t xml:space="preserve">, </w:t>
      </w:r>
      <w:r w:rsidRPr="00A32E60">
        <w:rPr>
          <w:rFonts w:ascii="Arial"/>
        </w:rPr>
        <w:t xml:space="preserve">College </w:t>
      </w:r>
      <w:proofErr w:type="gramStart"/>
      <w:r w:rsidRPr="00A32E60">
        <w:rPr>
          <w:rFonts w:ascii="Arial"/>
        </w:rPr>
        <w:t>of  Dentistry</w:t>
      </w:r>
      <w:proofErr w:type="gramEnd"/>
      <w:r w:rsidRPr="00A32E60">
        <w:rPr>
          <w:rFonts w:ascii="Arial"/>
        </w:rPr>
        <w:t>, University of Science and Technology of Fujairah</w:t>
      </w:r>
    </w:p>
    <w:p w14:paraId="66D44992" w14:textId="77777777" w:rsidR="00AE3E37" w:rsidRDefault="00AE3E37">
      <w:pPr>
        <w:pStyle w:val="BodyText"/>
        <w:rPr>
          <w:rFonts w:ascii="Arial"/>
          <w:sz w:val="20"/>
        </w:rPr>
      </w:pPr>
    </w:p>
    <w:p w14:paraId="79174F4F" w14:textId="77777777" w:rsidR="00AE3E37" w:rsidRDefault="00AE3E37">
      <w:pPr>
        <w:pStyle w:val="BodyText"/>
        <w:spacing w:before="3"/>
        <w:rPr>
          <w:rFonts w:ascii="Arial"/>
          <w:sz w:val="21"/>
        </w:rPr>
      </w:pPr>
    </w:p>
    <w:p w14:paraId="0E4A91C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DC70702"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B85CBC5" w14:textId="68558029" w:rsidR="00816B04" w:rsidRPr="00816B04" w:rsidRDefault="00816B04" w:rsidP="00574D46">
      <w:pPr>
        <w:pStyle w:val="Heading3"/>
        <w:spacing w:before="74"/>
        <w:ind w:left="101"/>
        <w:jc w:val="both"/>
        <w:rPr>
          <w:rFonts w:asciiTheme="majorBidi" w:hAnsiTheme="majorBidi" w:cstheme="majorBidi"/>
          <w:b w:val="0"/>
          <w:bCs w:val="0"/>
          <w:sz w:val="22"/>
          <w:szCs w:val="22"/>
          <w:lang w:val="en-GB"/>
        </w:rPr>
      </w:pPr>
      <w:r w:rsidRPr="00816B04">
        <w:rPr>
          <w:rFonts w:asciiTheme="majorBidi" w:hAnsiTheme="majorBidi" w:cstheme="majorBidi"/>
          <w:b w:val="0"/>
          <w:bCs w:val="0"/>
          <w:sz w:val="22"/>
          <w:szCs w:val="22"/>
          <w:lang w:val="en-GB"/>
        </w:rPr>
        <w:t>Extraction socket resorption is considered a challenging procedure when it involves the esthetic zone. The objective of the present study was to evaluate the efficacy of the socket shield technique for immediate implantation at the esthetic zone, through comparison to the traditional conventional immediate implant technique. The study was conducted on 20 immediate implant placement sites in the anterior maxillary region. In the study group, 10 implants were inserted using socket shield technique, while in the control group, 10 implants were inserted using conventional immediate placement technique. All patients received immediate and 6 months post-operative CBCT to assess horizontal bone loss, vertical bone loss, and measurement of bone density. Implant stability quotients (ISQs) were measured immediately, 1</w:t>
      </w:r>
      <w:r w:rsidRPr="00816B04">
        <w:rPr>
          <w:rFonts w:asciiTheme="majorBidi" w:hAnsiTheme="majorBidi" w:cstheme="majorBidi"/>
          <w:b w:val="0"/>
          <w:bCs w:val="0"/>
          <w:sz w:val="22"/>
          <w:szCs w:val="22"/>
          <w:vertAlign w:val="superscript"/>
          <w:lang w:val="en-GB"/>
        </w:rPr>
        <w:t>st</w:t>
      </w:r>
      <w:r w:rsidRPr="00816B04">
        <w:rPr>
          <w:rFonts w:asciiTheme="majorBidi" w:hAnsiTheme="majorBidi" w:cstheme="majorBidi"/>
          <w:b w:val="0"/>
          <w:bCs w:val="0"/>
          <w:sz w:val="22"/>
          <w:szCs w:val="22"/>
          <w:lang w:val="en-GB"/>
        </w:rPr>
        <w:t>, 3</w:t>
      </w:r>
      <w:r w:rsidRPr="00816B04">
        <w:rPr>
          <w:rFonts w:asciiTheme="majorBidi" w:hAnsiTheme="majorBidi" w:cstheme="majorBidi"/>
          <w:b w:val="0"/>
          <w:bCs w:val="0"/>
          <w:sz w:val="22"/>
          <w:szCs w:val="22"/>
          <w:vertAlign w:val="superscript"/>
          <w:lang w:val="en-GB"/>
        </w:rPr>
        <w:t>rd</w:t>
      </w:r>
      <w:r w:rsidRPr="00816B04">
        <w:rPr>
          <w:rFonts w:asciiTheme="majorBidi" w:hAnsiTheme="majorBidi" w:cstheme="majorBidi"/>
          <w:b w:val="0"/>
          <w:bCs w:val="0"/>
          <w:sz w:val="22"/>
          <w:szCs w:val="22"/>
          <w:lang w:val="en-GB"/>
        </w:rPr>
        <w:t xml:space="preserve"> and 6 months post-operatively. The horizontal bone loss recorded</w:t>
      </w:r>
      <w:r w:rsidRPr="00816B04">
        <w:rPr>
          <w:rFonts w:asciiTheme="majorBidi" w:hAnsiTheme="majorBidi" w:cstheme="majorBidi"/>
          <w:b w:val="0"/>
          <w:bCs w:val="0"/>
          <w:sz w:val="22"/>
          <w:szCs w:val="22"/>
        </w:rPr>
        <w:t xml:space="preserve"> </w:t>
      </w:r>
      <w:r w:rsidRPr="00816B04">
        <w:rPr>
          <w:rFonts w:asciiTheme="majorBidi" w:hAnsiTheme="majorBidi" w:cstheme="majorBidi"/>
          <w:b w:val="0"/>
          <w:bCs w:val="0"/>
          <w:sz w:val="22"/>
          <w:szCs w:val="22"/>
          <w:lang w:val="en-GB"/>
        </w:rPr>
        <w:t>a median percent decrease equal -13.04% in</w:t>
      </w:r>
      <w:r w:rsidRPr="00816B04">
        <w:rPr>
          <w:rFonts w:asciiTheme="majorBidi" w:hAnsiTheme="majorBidi" w:cstheme="majorBidi"/>
          <w:b w:val="0"/>
          <w:bCs w:val="0"/>
          <w:sz w:val="22"/>
          <w:szCs w:val="22"/>
        </w:rPr>
        <w:t xml:space="preserve"> </w:t>
      </w:r>
      <w:r w:rsidRPr="00816B04">
        <w:rPr>
          <w:rFonts w:asciiTheme="majorBidi" w:hAnsiTheme="majorBidi" w:cstheme="majorBidi"/>
          <w:b w:val="0"/>
          <w:bCs w:val="0"/>
          <w:sz w:val="22"/>
          <w:szCs w:val="22"/>
          <w:lang w:val="en-GB"/>
        </w:rPr>
        <w:t>the study group, and -5.55% in the control group. The difference between groups was statistically significant (p=0.013). Vertical bone loss recorded insignificant increase (p= 0.267) in mean value from (13.44±1.52) immediately post-operatively; to (13.54±1.36) at 6 months in the study group. While the control group reported a statistically significant (p=0.005) decrease in mean vertical bone loss from (13.61±0.38) immediately post-operatively, to (13.08±0.54) at 6 months. Both groups</w:t>
      </w:r>
      <w:r w:rsidRPr="00816B04">
        <w:rPr>
          <w:rFonts w:asciiTheme="majorBidi" w:hAnsiTheme="majorBidi" w:cstheme="majorBidi"/>
          <w:b w:val="0"/>
          <w:bCs w:val="0"/>
          <w:sz w:val="22"/>
          <w:szCs w:val="22"/>
        </w:rPr>
        <w:t xml:space="preserve"> </w:t>
      </w:r>
      <w:r w:rsidRPr="00816B04">
        <w:rPr>
          <w:rFonts w:asciiTheme="majorBidi" w:hAnsiTheme="majorBidi" w:cstheme="majorBidi"/>
          <w:b w:val="0"/>
          <w:bCs w:val="0"/>
          <w:sz w:val="22"/>
          <w:szCs w:val="22"/>
          <w:lang w:val="en-GB"/>
        </w:rPr>
        <w:t xml:space="preserve">reported a gradual statistically significant (p= 0.00) increases in mean implant stability (ISQ) With a higher mean value was recorded in the study group in comparison to the control group immediately, after one month, three months, and six months post-operatively. It has been concluded that the Socket shield technique, eliminates the negative consequences of bone resorption of the buccal plate of bone; leading to maintaining hard and soft tissue contours providing perfect esthetic result and good function. </w:t>
      </w:r>
    </w:p>
    <w:p w14:paraId="31104A67" w14:textId="77777777" w:rsidR="00AE3E37" w:rsidRDefault="00A9710C">
      <w:pPr>
        <w:pStyle w:val="Heading3"/>
        <w:spacing w:before="74"/>
      </w:pPr>
      <w:r>
        <w:rPr>
          <w:b w:val="0"/>
        </w:rPr>
        <w:br w:type="column"/>
      </w:r>
      <w:r>
        <w:rPr>
          <w:color w:val="BF5A14"/>
        </w:rPr>
        <w:lastRenderedPageBreak/>
        <w:t>Image</w:t>
      </w:r>
    </w:p>
    <w:p w14:paraId="59032B08" w14:textId="34916DAB" w:rsidR="00AE3E37" w:rsidRDefault="000B17CE" w:rsidP="000B17CE">
      <w:pPr>
        <w:pStyle w:val="BodyText"/>
        <w:spacing w:before="2"/>
        <w:rPr>
          <w:rFonts w:ascii="Arial"/>
          <w:b/>
          <w:sz w:val="16"/>
        </w:rPr>
      </w:pPr>
      <w:r w:rsidRPr="000B17CE">
        <w:rPr>
          <w:rFonts w:ascii="Arial"/>
          <w:b/>
          <w:noProof/>
          <w:sz w:val="16"/>
        </w:rPr>
        <w:drawing>
          <wp:inline distT="0" distB="0" distL="0" distR="0" wp14:anchorId="5FDB2ED3" wp14:editId="7321E769">
            <wp:extent cx="3114675" cy="1752277"/>
            <wp:effectExtent l="0" t="0" r="0" b="635"/>
            <wp:docPr id="6" name="Content Placeholder 3">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C4CAC1D-AF55-4D31-9666-27F57CA637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ent Placeholder 3">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C4CAC1D-AF55-4D31-9666-27F57CA6371B}"/>
                        </a:ext>
                      </a:extLst>
                    </pic:cNvPr>
                    <pic:cNvPicPr>
                      <a:picLocks noChangeAspect="1"/>
                    </pic:cNvPicPr>
                  </pic:nvPicPr>
                  <pic:blipFill>
                    <a:blip r:embed="rId10">
                      <a:extLst>
                        <a:ext uri="{28A0092B-C50C-407E-A947-70E740481C1C}">
                          <a14:useLocalDpi xmlns:a14="http://schemas.microsoft.com/office/drawing/2010/main"/>
                        </a:ext>
                      </a:extLst>
                    </a:blip>
                    <a:stretch>
                      <a:fillRect/>
                    </a:stretch>
                  </pic:blipFill>
                  <pic:spPr>
                    <a:xfrm>
                      <a:off x="0" y="0"/>
                      <a:ext cx="3141716" cy="1767490"/>
                    </a:xfrm>
                    <a:prstGeom prst="rect">
                      <a:avLst/>
                    </a:prstGeom>
                  </pic:spPr>
                </pic:pic>
              </a:graphicData>
            </a:graphic>
          </wp:inline>
        </w:drawing>
      </w:r>
    </w:p>
    <w:p w14:paraId="5EC41218" w14:textId="115D119A" w:rsidR="000B17CE" w:rsidRPr="00574D46" w:rsidRDefault="000B17CE" w:rsidP="00574D46">
      <w:pPr>
        <w:pStyle w:val="BodyText"/>
        <w:spacing w:before="2"/>
        <w:jc w:val="both"/>
        <w:rPr>
          <w:rFonts w:asciiTheme="majorBidi" w:hAnsiTheme="majorBidi" w:cstheme="majorBidi"/>
          <w:bCs/>
          <w:sz w:val="20"/>
          <w:szCs w:val="20"/>
        </w:rPr>
      </w:pPr>
      <w:r w:rsidRPr="00574D46">
        <w:rPr>
          <w:rFonts w:asciiTheme="majorBidi" w:hAnsiTheme="majorBidi" w:cstheme="majorBidi"/>
          <w:bCs/>
          <w:sz w:val="20"/>
          <w:szCs w:val="20"/>
        </w:rPr>
        <w:t>Figure 1: The implant housing was composed of the mesial, distal, and palatal bony walls while the buccal wall was occupied by the retained buccal aspect of the root composed of a thin layer of dentin followed by cementum, periodontal ligament, and bundle bone</w:t>
      </w:r>
      <w:r w:rsidR="00574D46">
        <w:rPr>
          <w:rFonts w:asciiTheme="majorBidi" w:hAnsiTheme="majorBidi" w:cstheme="majorBidi"/>
          <w:bCs/>
          <w:sz w:val="20"/>
          <w:szCs w:val="20"/>
        </w:rPr>
        <w:t>.</w:t>
      </w:r>
    </w:p>
    <w:p w14:paraId="4A290C25" w14:textId="22F708EC" w:rsidR="000B17CE" w:rsidRDefault="000B17CE" w:rsidP="000B17CE">
      <w:pPr>
        <w:pStyle w:val="BodyText"/>
        <w:spacing w:before="2"/>
        <w:rPr>
          <w:rFonts w:ascii="Arial"/>
          <w:b/>
          <w:sz w:val="16"/>
        </w:rPr>
      </w:pPr>
    </w:p>
    <w:p w14:paraId="6996B50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289B348" w14:textId="553D20E8" w:rsidR="005973B9" w:rsidRDefault="0034127B" w:rsidP="0034127B">
      <w:pPr>
        <w:pStyle w:val="ListParagraph"/>
        <w:numPr>
          <w:ilvl w:val="0"/>
          <w:numId w:val="3"/>
        </w:numPr>
        <w:tabs>
          <w:tab w:val="left" w:pos="384"/>
        </w:tabs>
        <w:spacing w:line="216" w:lineRule="exact"/>
        <w:ind w:right="137" w:hanging="283"/>
        <w:rPr>
          <w:sz w:val="18"/>
        </w:rPr>
      </w:pPr>
      <w:r w:rsidRPr="0034127B">
        <w:rPr>
          <w:sz w:val="18"/>
        </w:rPr>
        <w:t xml:space="preserve">Mitsias, M. E., Siormpas, K. D., </w:t>
      </w:r>
      <w:proofErr w:type="spellStart"/>
      <w:r w:rsidRPr="0034127B">
        <w:rPr>
          <w:sz w:val="18"/>
        </w:rPr>
        <w:t>Kontsiotou-Siormpa</w:t>
      </w:r>
      <w:proofErr w:type="spellEnd"/>
      <w:r w:rsidRPr="0034127B">
        <w:rPr>
          <w:sz w:val="18"/>
        </w:rPr>
        <w:t>, E., Prasad, H., Garber, D., &amp; Kotsakis, G. A. (2015). A Step-by-Step Description of PDL-Mediated Ridge Preservation for Immediate Implant Rehabilitation in the Esthetic Region. International Journal of Periodontics &amp; Restorative Dentistry, 35(6).</w:t>
      </w:r>
    </w:p>
    <w:p w14:paraId="5E3A5E8D" w14:textId="18292EF5" w:rsidR="0034127B" w:rsidRDefault="0034127B" w:rsidP="0034127B">
      <w:pPr>
        <w:pStyle w:val="ListParagraph"/>
        <w:numPr>
          <w:ilvl w:val="0"/>
          <w:numId w:val="3"/>
        </w:numPr>
        <w:tabs>
          <w:tab w:val="left" w:pos="384"/>
        </w:tabs>
        <w:spacing w:before="92" w:line="218" w:lineRule="exact"/>
        <w:ind w:hanging="283"/>
        <w:rPr>
          <w:sz w:val="18"/>
        </w:rPr>
      </w:pPr>
      <w:r w:rsidRPr="0034127B">
        <w:rPr>
          <w:sz w:val="18"/>
        </w:rPr>
        <w:t>Gluckman, H., Salama, M., &amp; Du Toit, J. (2018). A retrospective evaluation of 128 socket-shield cases in the esthetic zone and posterior sites: Partial extraction therapy with up to 4 years follow-up. </w:t>
      </w:r>
      <w:r w:rsidRPr="0034127B">
        <w:rPr>
          <w:i/>
          <w:iCs/>
          <w:sz w:val="18"/>
        </w:rPr>
        <w:t>Clinical implant dentistry and related research</w:t>
      </w:r>
      <w:r w:rsidRPr="0034127B">
        <w:rPr>
          <w:sz w:val="18"/>
        </w:rPr>
        <w:t>, </w:t>
      </w:r>
      <w:r w:rsidRPr="0034127B">
        <w:rPr>
          <w:i/>
          <w:iCs/>
          <w:sz w:val="18"/>
        </w:rPr>
        <w:t>20</w:t>
      </w:r>
      <w:r w:rsidRPr="0034127B">
        <w:rPr>
          <w:sz w:val="18"/>
        </w:rPr>
        <w:t>(2), 122–129</w:t>
      </w:r>
      <w:r>
        <w:rPr>
          <w:sz w:val="18"/>
        </w:rPr>
        <w:t>.</w:t>
      </w:r>
    </w:p>
    <w:p w14:paraId="7EFB2AD1" w14:textId="36670098" w:rsidR="00161A7F" w:rsidRDefault="00161A7F" w:rsidP="00161A7F">
      <w:pPr>
        <w:pStyle w:val="ListParagraph"/>
        <w:numPr>
          <w:ilvl w:val="0"/>
          <w:numId w:val="3"/>
        </w:numPr>
        <w:tabs>
          <w:tab w:val="left" w:pos="384"/>
        </w:tabs>
        <w:spacing w:before="92" w:line="218" w:lineRule="exact"/>
        <w:ind w:hanging="283"/>
        <w:rPr>
          <w:sz w:val="18"/>
        </w:rPr>
      </w:pPr>
      <w:r w:rsidRPr="00161A7F">
        <w:rPr>
          <w:sz w:val="18"/>
        </w:rPr>
        <w:t xml:space="preserve">Staehler, P., Abraha, S. M., Bastos, J., Zuhr, O., &amp; </w:t>
      </w:r>
      <w:proofErr w:type="spellStart"/>
      <w:r w:rsidRPr="00161A7F">
        <w:rPr>
          <w:sz w:val="18"/>
        </w:rPr>
        <w:t>Hürzeler</w:t>
      </w:r>
      <w:proofErr w:type="spellEnd"/>
      <w:r w:rsidRPr="00161A7F">
        <w:rPr>
          <w:sz w:val="18"/>
        </w:rPr>
        <w:t>, M. (2020). The socket-shield technique: a step-by-step protocol after 12 years of experience. </w:t>
      </w:r>
      <w:r w:rsidRPr="00161A7F">
        <w:rPr>
          <w:i/>
          <w:iCs/>
          <w:sz w:val="18"/>
        </w:rPr>
        <w:t>The international journal of esthetic dentistry</w:t>
      </w:r>
      <w:r w:rsidRPr="00161A7F">
        <w:rPr>
          <w:sz w:val="18"/>
        </w:rPr>
        <w:t>, </w:t>
      </w:r>
      <w:r w:rsidRPr="00161A7F">
        <w:rPr>
          <w:i/>
          <w:iCs/>
          <w:sz w:val="18"/>
        </w:rPr>
        <w:t>15</w:t>
      </w:r>
      <w:r w:rsidRPr="00161A7F">
        <w:rPr>
          <w:sz w:val="18"/>
        </w:rPr>
        <w:t>(3), 288–305.</w:t>
      </w:r>
    </w:p>
    <w:p w14:paraId="288E8D6E" w14:textId="5A35C4C3" w:rsidR="00161A7F" w:rsidRDefault="00161A7F" w:rsidP="00161A7F">
      <w:pPr>
        <w:pStyle w:val="ListParagraph"/>
        <w:numPr>
          <w:ilvl w:val="0"/>
          <w:numId w:val="3"/>
        </w:numPr>
        <w:tabs>
          <w:tab w:val="left" w:pos="384"/>
        </w:tabs>
        <w:spacing w:before="92" w:line="218" w:lineRule="exact"/>
        <w:ind w:hanging="283"/>
        <w:rPr>
          <w:sz w:val="18"/>
        </w:rPr>
      </w:pPr>
      <w:r w:rsidRPr="00161A7F">
        <w:rPr>
          <w:sz w:val="18"/>
        </w:rPr>
        <w:t>Gluckman, H., Du Toit, J., Salama, M., Nagy, K., &amp; Dard, M. (2020). A decade of the socket-shield technique: a step-by-step partial extraction therapy protocol. </w:t>
      </w:r>
      <w:r w:rsidRPr="00161A7F">
        <w:rPr>
          <w:i/>
          <w:iCs/>
          <w:sz w:val="18"/>
        </w:rPr>
        <w:t>The international journal of esthetic dentistry</w:t>
      </w:r>
      <w:r w:rsidRPr="00161A7F">
        <w:rPr>
          <w:sz w:val="18"/>
        </w:rPr>
        <w:t>, </w:t>
      </w:r>
      <w:r w:rsidRPr="00161A7F">
        <w:rPr>
          <w:i/>
          <w:iCs/>
          <w:sz w:val="18"/>
        </w:rPr>
        <w:t>15</w:t>
      </w:r>
      <w:r w:rsidRPr="00161A7F">
        <w:rPr>
          <w:sz w:val="18"/>
        </w:rPr>
        <w:t>(2), 212–225.</w:t>
      </w:r>
    </w:p>
    <w:p w14:paraId="5BCA62DA" w14:textId="2B8A299A" w:rsidR="00161A7F" w:rsidRDefault="00710C04" w:rsidP="00161A7F">
      <w:pPr>
        <w:pStyle w:val="ListParagraph"/>
        <w:numPr>
          <w:ilvl w:val="0"/>
          <w:numId w:val="3"/>
        </w:numPr>
        <w:tabs>
          <w:tab w:val="left" w:pos="384"/>
        </w:tabs>
        <w:spacing w:before="92" w:line="218" w:lineRule="exact"/>
        <w:ind w:hanging="283"/>
        <w:rPr>
          <w:sz w:val="18"/>
        </w:rPr>
      </w:pPr>
      <w:r w:rsidRPr="00710C04">
        <w:rPr>
          <w:sz w:val="18"/>
        </w:rPr>
        <w:t xml:space="preserve">Bäumer, D., Zuhr, O., Rebele, S., &amp; </w:t>
      </w:r>
      <w:proofErr w:type="spellStart"/>
      <w:r w:rsidRPr="00710C04">
        <w:rPr>
          <w:sz w:val="18"/>
        </w:rPr>
        <w:t>Hürzeler</w:t>
      </w:r>
      <w:proofErr w:type="spellEnd"/>
      <w:r w:rsidRPr="00710C04">
        <w:rPr>
          <w:sz w:val="18"/>
        </w:rPr>
        <w:t>, M. (2017). Socket Shield Technique for immediate implant placement–clinical, radiographic and volumetric data after 5 years. Clinical Oral Implants Research, 28(11), 1450-1458.</w:t>
      </w:r>
    </w:p>
    <w:p w14:paraId="5463F78A" w14:textId="77777777" w:rsidR="00AE3E37" w:rsidRPr="008756E6" w:rsidRDefault="00AE3E37" w:rsidP="008756E6">
      <w:pPr>
        <w:tabs>
          <w:tab w:val="left" w:pos="384"/>
        </w:tabs>
        <w:ind w:right="117"/>
      </w:pPr>
    </w:p>
    <w:p w14:paraId="1A1C3E7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14:paraId="6112C05B" w14:textId="77777777" w:rsidR="00C247E9" w:rsidRDefault="00D62425">
      <w:pPr>
        <w:pStyle w:val="BodyText"/>
        <w:rPr>
          <w:rFonts w:ascii="Calibri"/>
          <w:sz w:val="20"/>
        </w:rPr>
      </w:pPr>
      <w:r>
        <w:rPr>
          <w:rFonts w:ascii="Calibri"/>
          <w:sz w:val="20"/>
        </w:rPr>
        <w:lastRenderedPageBreak/>
        <w:t xml:space="preserve">                </w:t>
      </w:r>
    </w:p>
    <w:p w14:paraId="4895A3E3" w14:textId="044C330F" w:rsidR="00AE3E37" w:rsidRPr="00412784" w:rsidRDefault="00D62425">
      <w:pPr>
        <w:pStyle w:val="BodyText"/>
        <w:rPr>
          <w:rFonts w:ascii="Arial" w:hAnsi="Arial" w:cs="Arial"/>
          <w:b/>
          <w:sz w:val="22"/>
          <w:szCs w:val="22"/>
        </w:rPr>
      </w:pPr>
      <w:r>
        <w:rPr>
          <w:rFonts w:ascii="Calibri"/>
          <w:sz w:val="20"/>
        </w:rPr>
        <w:t xml:space="preserve"> </w:t>
      </w:r>
      <w:r w:rsidR="00412784" w:rsidRPr="00412784">
        <w:rPr>
          <w:rFonts w:ascii="Arial" w:hAnsi="Arial" w:cs="Arial"/>
          <w:color w:val="BF5A14"/>
          <w:sz w:val="22"/>
          <w:szCs w:val="22"/>
        </w:rPr>
        <w:t>Photograph</w:t>
      </w:r>
    </w:p>
    <w:p w14:paraId="2FBD25F0" w14:textId="77777777" w:rsidR="00AE3E37" w:rsidRDefault="00AE3E37">
      <w:pPr>
        <w:pStyle w:val="BodyText"/>
        <w:spacing w:line="40" w:lineRule="exact"/>
        <w:ind w:left="2202"/>
        <w:rPr>
          <w:rFonts w:ascii="Calibri"/>
          <w:sz w:val="4"/>
        </w:rPr>
      </w:pPr>
    </w:p>
    <w:p w14:paraId="0665464D" w14:textId="5243DAFD" w:rsidR="00567406" w:rsidRDefault="008756E6" w:rsidP="00404E5B">
      <w:pPr>
        <w:spacing w:before="92"/>
        <w:ind w:right="4234"/>
        <w:rPr>
          <w:noProof/>
        </w:rPr>
      </w:pPr>
      <w:r>
        <w:rPr>
          <w:noProof/>
        </w:rPr>
        <w:t xml:space="preserve">              </w:t>
      </w:r>
      <w:r w:rsidR="000B17CE">
        <w:rPr>
          <w:noProof/>
        </w:rPr>
        <w:drawing>
          <wp:inline distT="0" distB="0" distL="0" distR="0" wp14:anchorId="1034EF75" wp14:editId="1ED4372C">
            <wp:extent cx="2049677" cy="1550035"/>
            <wp:effectExtent l="1905"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2096397" cy="1585366"/>
                    </a:xfrm>
                    <a:prstGeom prst="rect">
                      <a:avLst/>
                    </a:prstGeom>
                  </pic:spPr>
                </pic:pic>
              </a:graphicData>
            </a:graphic>
          </wp:inline>
        </w:drawing>
      </w:r>
    </w:p>
    <w:p w14:paraId="7646B0D7" w14:textId="77777777" w:rsidR="00567406" w:rsidRDefault="00567406" w:rsidP="00404E5B">
      <w:pPr>
        <w:spacing w:before="92"/>
        <w:ind w:right="4234"/>
        <w:rPr>
          <w:noProof/>
        </w:rPr>
      </w:pPr>
    </w:p>
    <w:p w14:paraId="10FB2324" w14:textId="77777777" w:rsidR="00AE3E37" w:rsidRDefault="0056740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1628A41A" w14:textId="0F2A5EB2" w:rsidR="0099746B" w:rsidRPr="00EB6ED7" w:rsidRDefault="0099746B" w:rsidP="006223A1">
      <w:pPr>
        <w:jc w:val="both"/>
        <w:rPr>
          <w:rFonts w:asciiTheme="majorBidi" w:hAnsiTheme="majorBidi" w:cstheme="majorBidi"/>
          <w:sz w:val="24"/>
          <w:szCs w:val="24"/>
        </w:rPr>
      </w:pPr>
      <w:r w:rsidRPr="00EB6ED7">
        <w:rPr>
          <w:rFonts w:asciiTheme="majorBidi" w:hAnsiTheme="majorBidi" w:cstheme="majorBidi"/>
          <w:sz w:val="24"/>
          <w:szCs w:val="24"/>
        </w:rPr>
        <w:t>Assistant lecturer</w:t>
      </w:r>
      <w:r w:rsidR="00EB6ED7">
        <w:rPr>
          <w:rFonts w:asciiTheme="majorBidi" w:hAnsiTheme="majorBidi" w:cstheme="majorBidi"/>
          <w:sz w:val="24"/>
          <w:szCs w:val="24"/>
        </w:rPr>
        <w:t xml:space="preserve"> of Oral &amp; Maxillofacial surgery</w:t>
      </w:r>
      <w:r w:rsidRPr="00EB6ED7">
        <w:rPr>
          <w:rFonts w:asciiTheme="majorBidi" w:hAnsiTheme="majorBidi" w:cstheme="majorBidi"/>
          <w:sz w:val="24"/>
          <w:szCs w:val="24"/>
        </w:rPr>
        <w:t xml:space="preserve"> at Faculty of Dentistry, Egyptian Russian University (ERU). Experienced Specialist with a demonstrated history of working in the dental practice. Skilled in Oral &amp; Maxillofacial Surgery. Strong professional with a Bachelor's degree focused in Oral and Dental Medicine from Faculty of Oral and Dental Medicine Misr International University (MIU). Master degree of Oral &amp; Maxillofacial Surgery from Faculty of Dentistry Suez Canal University. Member of German Society of Oral Implantology (DGOI).</w:t>
      </w:r>
    </w:p>
    <w:p w14:paraId="3B6A5467" w14:textId="219A980B" w:rsidR="00AE3E37" w:rsidRPr="00EB6ED7" w:rsidRDefault="0099746B" w:rsidP="0099746B">
      <w:pPr>
        <w:spacing w:before="62"/>
        <w:ind w:right="4235"/>
        <w:jc w:val="right"/>
        <w:rPr>
          <w:rFonts w:asciiTheme="majorBidi" w:hAnsiTheme="majorBidi" w:cstheme="majorBidi"/>
          <w:sz w:val="24"/>
          <w:szCs w:val="24"/>
        </w:rPr>
      </w:pPr>
      <w:r>
        <w:rPr>
          <w:rFonts w:ascii="Arial"/>
          <w:sz w:val="14"/>
        </w:rPr>
        <w:t xml:space="preserve">                                              </w:t>
      </w:r>
      <w:r w:rsidR="00A9710C" w:rsidRPr="00EB6ED7">
        <w:rPr>
          <w:rFonts w:asciiTheme="majorBidi" w:hAnsiTheme="majorBidi" w:cstheme="majorBidi"/>
          <w:sz w:val="24"/>
          <w:szCs w:val="24"/>
        </w:rPr>
        <w:t xml:space="preserve">Email: </w:t>
      </w:r>
      <w:hyperlink r:id="rId12" w:history="1">
        <w:r w:rsidR="00EB6ED7" w:rsidRPr="00B02FAF">
          <w:rPr>
            <w:rStyle w:val="Hyperlink"/>
            <w:rFonts w:asciiTheme="majorBidi" w:hAnsiTheme="majorBidi" w:cstheme="majorBidi"/>
            <w:sz w:val="24"/>
            <w:szCs w:val="24"/>
          </w:rPr>
          <w:t>mohamed-elseasy@eru.edu.eg</w:t>
        </w:r>
      </w:hyperlink>
    </w:p>
    <w:p w14:paraId="18131728" w14:textId="450E130D" w:rsidR="0099746B" w:rsidRDefault="0099746B" w:rsidP="0099746B">
      <w:pPr>
        <w:spacing w:before="62"/>
        <w:ind w:right="4235"/>
        <w:rPr>
          <w:rFonts w:ascii="Arial"/>
          <w:sz w:val="14"/>
        </w:rPr>
      </w:pPr>
      <w:r>
        <w:rPr>
          <w:rFonts w:ascii="Arial"/>
          <w:sz w:val="14"/>
        </w:rPr>
        <w:t xml:space="preserve">      </w:t>
      </w:r>
    </w:p>
    <w:p w14:paraId="7A00CB27" w14:textId="77777777" w:rsidR="0099746B" w:rsidRDefault="0099746B" w:rsidP="004C10D5">
      <w:pPr>
        <w:spacing w:before="62"/>
        <w:ind w:left="4217" w:right="4235"/>
        <w:jc w:val="center"/>
        <w:rPr>
          <w:rFonts w:ascii="Arial"/>
          <w:sz w:val="14"/>
        </w:rPr>
      </w:pPr>
    </w:p>
    <w:p w14:paraId="37DF8B14" w14:textId="77777777" w:rsidR="0099746B" w:rsidRDefault="0099746B" w:rsidP="0099746B">
      <w:pPr>
        <w:spacing w:before="62"/>
        <w:ind w:left="4217" w:right="4235"/>
        <w:rPr>
          <w:rFonts w:ascii="Arial"/>
          <w:sz w:val="14"/>
        </w:rPr>
      </w:pPr>
    </w:p>
    <w:p w14:paraId="7CC5BB2F" w14:textId="38C9FC44" w:rsidR="0099746B" w:rsidRPr="004C10D5" w:rsidRDefault="0099746B" w:rsidP="004C10D5">
      <w:pPr>
        <w:spacing w:before="62"/>
        <w:ind w:left="4217" w:right="4235"/>
        <w:jc w:val="center"/>
        <w:rPr>
          <w:rFonts w:ascii="Arial"/>
          <w:sz w:val="14"/>
        </w:rPr>
        <w:sectPr w:rsidR="0099746B" w:rsidRPr="004C10D5">
          <w:type w:val="continuous"/>
          <w:pgSz w:w="11910" w:h="16840"/>
          <w:pgMar w:top="1740" w:right="600" w:bottom="840" w:left="620" w:header="720" w:footer="720" w:gutter="0"/>
          <w:cols w:space="720"/>
        </w:sectPr>
      </w:pPr>
    </w:p>
    <w:p w14:paraId="48AAF2EF" w14:textId="77777777" w:rsidR="00AE3E37" w:rsidRDefault="00AE3E37" w:rsidP="004C10D5">
      <w:pPr>
        <w:pStyle w:val="BodyText"/>
        <w:spacing w:before="3"/>
        <w:rPr>
          <w:rFonts w:ascii="Minion Pro"/>
          <w:sz w:val="26"/>
        </w:rPr>
      </w:pPr>
    </w:p>
    <w:p w14:paraId="61369436" w14:textId="77777777" w:rsidR="00350FCC" w:rsidRDefault="00350FCC" w:rsidP="004C10D5">
      <w:pPr>
        <w:pStyle w:val="BodyText"/>
        <w:spacing w:before="3"/>
        <w:rPr>
          <w:rFonts w:ascii="Minion Pro"/>
          <w:sz w:val="26"/>
        </w:rPr>
      </w:pPr>
    </w:p>
    <w:p w14:paraId="05E0D036" w14:textId="77777777" w:rsidR="00350FCC" w:rsidRDefault="00350FCC" w:rsidP="004C10D5">
      <w:pPr>
        <w:pStyle w:val="BodyText"/>
        <w:spacing w:before="3"/>
        <w:rPr>
          <w:rFonts w:ascii="Minion Pro"/>
          <w:sz w:val="26"/>
        </w:rPr>
      </w:pPr>
    </w:p>
    <w:p w14:paraId="1CA04D02" w14:textId="77777777" w:rsidR="00350FCC" w:rsidRDefault="00350FCC" w:rsidP="004C10D5">
      <w:pPr>
        <w:pStyle w:val="BodyText"/>
        <w:spacing w:before="3"/>
        <w:rPr>
          <w:rFonts w:ascii="Minion Pro"/>
          <w:sz w:val="26"/>
        </w:rPr>
      </w:pPr>
    </w:p>
    <w:p w14:paraId="4CB711B4" w14:textId="77777777" w:rsidR="00350FCC" w:rsidRDefault="00350FCC" w:rsidP="004C10D5">
      <w:pPr>
        <w:pStyle w:val="BodyText"/>
        <w:spacing w:before="3"/>
        <w:rPr>
          <w:rFonts w:ascii="Minion Pro"/>
          <w:sz w:val="26"/>
        </w:rPr>
      </w:pPr>
    </w:p>
    <w:p w14:paraId="262F0746" w14:textId="77777777" w:rsidR="00350FCC" w:rsidRDefault="00350FCC" w:rsidP="004C10D5">
      <w:pPr>
        <w:pStyle w:val="BodyText"/>
        <w:spacing w:before="3"/>
        <w:rPr>
          <w:rFonts w:ascii="Minion Pro"/>
          <w:sz w:val="26"/>
        </w:rPr>
      </w:pPr>
    </w:p>
    <w:p w14:paraId="7536DCF2" w14:textId="77777777" w:rsidR="00350FCC" w:rsidRDefault="00350FCC" w:rsidP="004C10D5">
      <w:pPr>
        <w:pStyle w:val="BodyText"/>
        <w:spacing w:before="3"/>
        <w:rPr>
          <w:rFonts w:ascii="Minion Pro"/>
          <w:sz w:val="26"/>
        </w:rPr>
      </w:pPr>
    </w:p>
    <w:p w14:paraId="54C72BEB" w14:textId="77777777" w:rsidR="00350FCC" w:rsidRDefault="00350FCC" w:rsidP="004C10D5">
      <w:pPr>
        <w:pStyle w:val="BodyText"/>
        <w:spacing w:before="3"/>
        <w:rPr>
          <w:rFonts w:ascii="Minion Pro"/>
          <w:sz w:val="26"/>
        </w:rPr>
      </w:pPr>
    </w:p>
    <w:p w14:paraId="77ECC7E2" w14:textId="77777777" w:rsidR="00350FCC" w:rsidRDefault="00350FCC" w:rsidP="004C10D5">
      <w:pPr>
        <w:pStyle w:val="BodyText"/>
        <w:spacing w:before="3"/>
        <w:rPr>
          <w:rFonts w:ascii="Minion Pro"/>
          <w:sz w:val="26"/>
        </w:rPr>
      </w:pPr>
    </w:p>
    <w:sectPr w:rsidR="00350FC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16F07F" w14:textId="77777777" w:rsidR="008C69F2" w:rsidRDefault="008C69F2">
      <w:r>
        <w:separator/>
      </w:r>
    </w:p>
  </w:endnote>
  <w:endnote w:type="continuationSeparator" w:id="0">
    <w:p w14:paraId="1455D0F9" w14:textId="77777777" w:rsidR="008C69F2" w:rsidRDefault="008C6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2A455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2ABD6A7" wp14:editId="155686F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C1C2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41148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2ABD6A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33C1C2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41148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3851B83" wp14:editId="147D304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2458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225B1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851B8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CB2458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225B1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1B1FCC5" wp14:editId="443AD76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3D3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5CF8F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B1FCC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983D3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5CF8F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412796" w14:textId="77777777" w:rsidR="008C69F2" w:rsidRDefault="008C69F2">
      <w:r>
        <w:separator/>
      </w:r>
    </w:p>
  </w:footnote>
  <w:footnote w:type="continuationSeparator" w:id="0">
    <w:p w14:paraId="4B22BCFD" w14:textId="77777777" w:rsidR="008C69F2" w:rsidRDefault="008C69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2DF9B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3DFE3BE" wp14:editId="1F30EDF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648FC"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DFE3B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06648FC"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326769F" wp14:editId="65A193B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D6E7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064B71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26769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95D6E7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064B71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17CE"/>
    <w:rsid w:val="000E2911"/>
    <w:rsid w:val="001263DF"/>
    <w:rsid w:val="00161A7F"/>
    <w:rsid w:val="001927BB"/>
    <w:rsid w:val="001A5482"/>
    <w:rsid w:val="001E763C"/>
    <w:rsid w:val="00292ED9"/>
    <w:rsid w:val="00314AFB"/>
    <w:rsid w:val="0034127B"/>
    <w:rsid w:val="00350FCC"/>
    <w:rsid w:val="003B655B"/>
    <w:rsid w:val="003B76D9"/>
    <w:rsid w:val="00404E5B"/>
    <w:rsid w:val="00412784"/>
    <w:rsid w:val="00414F7B"/>
    <w:rsid w:val="004355DC"/>
    <w:rsid w:val="004749B4"/>
    <w:rsid w:val="00494130"/>
    <w:rsid w:val="004B78D8"/>
    <w:rsid w:val="004C10D5"/>
    <w:rsid w:val="004F3523"/>
    <w:rsid w:val="00521EDF"/>
    <w:rsid w:val="00567406"/>
    <w:rsid w:val="00574D46"/>
    <w:rsid w:val="00590710"/>
    <w:rsid w:val="005973B9"/>
    <w:rsid w:val="005B3A56"/>
    <w:rsid w:val="006060CE"/>
    <w:rsid w:val="006069B6"/>
    <w:rsid w:val="006223A1"/>
    <w:rsid w:val="0063497F"/>
    <w:rsid w:val="00710C04"/>
    <w:rsid w:val="0076607C"/>
    <w:rsid w:val="0078738A"/>
    <w:rsid w:val="008033AA"/>
    <w:rsid w:val="00816B04"/>
    <w:rsid w:val="00860405"/>
    <w:rsid w:val="00861E8E"/>
    <w:rsid w:val="00873DF0"/>
    <w:rsid w:val="008756E6"/>
    <w:rsid w:val="008C583B"/>
    <w:rsid w:val="008C69F2"/>
    <w:rsid w:val="008D13E9"/>
    <w:rsid w:val="008D5393"/>
    <w:rsid w:val="0099746B"/>
    <w:rsid w:val="009B2D44"/>
    <w:rsid w:val="00A07E82"/>
    <w:rsid w:val="00A13FCE"/>
    <w:rsid w:val="00A26E34"/>
    <w:rsid w:val="00A32E60"/>
    <w:rsid w:val="00A67D6B"/>
    <w:rsid w:val="00A93848"/>
    <w:rsid w:val="00A9710C"/>
    <w:rsid w:val="00AE3E37"/>
    <w:rsid w:val="00B00886"/>
    <w:rsid w:val="00B21A57"/>
    <w:rsid w:val="00BE6F45"/>
    <w:rsid w:val="00C247E9"/>
    <w:rsid w:val="00C33602"/>
    <w:rsid w:val="00CD6F55"/>
    <w:rsid w:val="00D10067"/>
    <w:rsid w:val="00D62425"/>
    <w:rsid w:val="00D91E7D"/>
    <w:rsid w:val="00DE3104"/>
    <w:rsid w:val="00E47911"/>
    <w:rsid w:val="00EB1BE3"/>
    <w:rsid w:val="00EB6ED7"/>
    <w:rsid w:val="00ED3B5A"/>
    <w:rsid w:val="00F52BE5"/>
    <w:rsid w:val="00F72EEA"/>
    <w:rsid w:val="00F74AB0"/>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E0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0B17CE"/>
    <w:pPr>
      <w:widowControl/>
      <w:spacing w:before="100" w:beforeAutospacing="1" w:after="100" w:afterAutospacing="1"/>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99746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0B17CE"/>
    <w:pPr>
      <w:widowControl/>
      <w:spacing w:before="100" w:beforeAutospacing="1" w:after="100" w:afterAutospacing="1"/>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997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500816">
      <w:bodyDiv w:val="1"/>
      <w:marLeft w:val="0"/>
      <w:marRight w:val="0"/>
      <w:marTop w:val="0"/>
      <w:marBottom w:val="0"/>
      <w:divBdr>
        <w:top w:val="none" w:sz="0" w:space="0" w:color="auto"/>
        <w:left w:val="none" w:sz="0" w:space="0" w:color="auto"/>
        <w:bottom w:val="none" w:sz="0" w:space="0" w:color="auto"/>
        <w:right w:val="none" w:sz="0" w:space="0" w:color="auto"/>
      </w:divBdr>
      <w:divsChild>
        <w:div w:id="1087267231">
          <w:marLeft w:val="0"/>
          <w:marRight w:val="0"/>
          <w:marTop w:val="0"/>
          <w:marBottom w:val="0"/>
          <w:divBdr>
            <w:top w:val="none" w:sz="0" w:space="0" w:color="auto"/>
            <w:left w:val="none" w:sz="0" w:space="0" w:color="auto"/>
            <w:bottom w:val="none" w:sz="0" w:space="0" w:color="auto"/>
            <w:right w:val="none" w:sz="0" w:space="0" w:color="auto"/>
          </w:divBdr>
        </w:div>
      </w:divsChild>
    </w:div>
    <w:div w:id="524757672">
      <w:bodyDiv w:val="1"/>
      <w:marLeft w:val="0"/>
      <w:marRight w:val="0"/>
      <w:marTop w:val="0"/>
      <w:marBottom w:val="0"/>
      <w:divBdr>
        <w:top w:val="none" w:sz="0" w:space="0" w:color="auto"/>
        <w:left w:val="none" w:sz="0" w:space="0" w:color="auto"/>
        <w:bottom w:val="none" w:sz="0" w:space="0" w:color="auto"/>
        <w:right w:val="none" w:sz="0" w:space="0" w:color="auto"/>
      </w:divBdr>
      <w:divsChild>
        <w:div w:id="316615580">
          <w:marLeft w:val="0"/>
          <w:marRight w:val="0"/>
          <w:marTop w:val="0"/>
          <w:marBottom w:val="0"/>
          <w:divBdr>
            <w:top w:val="none" w:sz="0" w:space="0" w:color="auto"/>
            <w:left w:val="none" w:sz="0" w:space="0" w:color="auto"/>
            <w:bottom w:val="none" w:sz="0" w:space="0" w:color="auto"/>
            <w:right w:val="none" w:sz="0" w:space="0" w:color="auto"/>
          </w:divBdr>
          <w:divsChild>
            <w:div w:id="998535774">
              <w:marLeft w:val="0"/>
              <w:marRight w:val="0"/>
              <w:marTop w:val="0"/>
              <w:marBottom w:val="0"/>
              <w:divBdr>
                <w:top w:val="none" w:sz="0" w:space="0" w:color="auto"/>
                <w:left w:val="none" w:sz="0" w:space="0" w:color="auto"/>
                <w:bottom w:val="none" w:sz="0" w:space="0" w:color="auto"/>
                <w:right w:val="none" w:sz="0" w:space="0" w:color="auto"/>
              </w:divBdr>
            </w:div>
            <w:div w:id="737674552">
              <w:marLeft w:val="0"/>
              <w:marRight w:val="0"/>
              <w:marTop w:val="0"/>
              <w:marBottom w:val="0"/>
              <w:divBdr>
                <w:top w:val="none" w:sz="0" w:space="0" w:color="auto"/>
                <w:left w:val="none" w:sz="0" w:space="0" w:color="auto"/>
                <w:bottom w:val="none" w:sz="0" w:space="0" w:color="auto"/>
                <w:right w:val="none" w:sz="0" w:space="0" w:color="auto"/>
              </w:divBdr>
            </w:div>
            <w:div w:id="980158066">
              <w:marLeft w:val="0"/>
              <w:marRight w:val="0"/>
              <w:marTop w:val="0"/>
              <w:marBottom w:val="0"/>
              <w:divBdr>
                <w:top w:val="none" w:sz="0" w:space="0" w:color="auto"/>
                <w:left w:val="none" w:sz="0" w:space="0" w:color="auto"/>
                <w:bottom w:val="none" w:sz="0" w:space="0" w:color="auto"/>
                <w:right w:val="none" w:sz="0" w:space="0" w:color="auto"/>
              </w:divBdr>
            </w:div>
            <w:div w:id="1304696722">
              <w:marLeft w:val="0"/>
              <w:marRight w:val="0"/>
              <w:marTop w:val="0"/>
              <w:marBottom w:val="0"/>
              <w:divBdr>
                <w:top w:val="none" w:sz="0" w:space="0" w:color="auto"/>
                <w:left w:val="none" w:sz="0" w:space="0" w:color="auto"/>
                <w:bottom w:val="none" w:sz="0" w:space="0" w:color="auto"/>
                <w:right w:val="none" w:sz="0" w:space="0" w:color="auto"/>
              </w:divBdr>
            </w:div>
            <w:div w:id="1129009864">
              <w:marLeft w:val="0"/>
              <w:marRight w:val="0"/>
              <w:marTop w:val="0"/>
              <w:marBottom w:val="0"/>
              <w:divBdr>
                <w:top w:val="none" w:sz="0" w:space="0" w:color="auto"/>
                <w:left w:val="none" w:sz="0" w:space="0" w:color="auto"/>
                <w:bottom w:val="none" w:sz="0" w:space="0" w:color="auto"/>
                <w:right w:val="none" w:sz="0" w:space="0" w:color="auto"/>
              </w:divBdr>
            </w:div>
            <w:div w:id="1562866610">
              <w:marLeft w:val="0"/>
              <w:marRight w:val="0"/>
              <w:marTop w:val="0"/>
              <w:marBottom w:val="0"/>
              <w:divBdr>
                <w:top w:val="none" w:sz="0" w:space="0" w:color="auto"/>
                <w:left w:val="none" w:sz="0" w:space="0" w:color="auto"/>
                <w:bottom w:val="none" w:sz="0" w:space="0" w:color="auto"/>
                <w:right w:val="none" w:sz="0" w:space="0" w:color="auto"/>
              </w:divBdr>
            </w:div>
            <w:div w:id="622226438">
              <w:marLeft w:val="0"/>
              <w:marRight w:val="0"/>
              <w:marTop w:val="0"/>
              <w:marBottom w:val="0"/>
              <w:divBdr>
                <w:top w:val="none" w:sz="0" w:space="0" w:color="auto"/>
                <w:left w:val="none" w:sz="0" w:space="0" w:color="auto"/>
                <w:bottom w:val="none" w:sz="0" w:space="0" w:color="auto"/>
                <w:right w:val="none" w:sz="0" w:space="0" w:color="auto"/>
              </w:divBdr>
            </w:div>
            <w:div w:id="1068651123">
              <w:marLeft w:val="0"/>
              <w:marRight w:val="0"/>
              <w:marTop w:val="0"/>
              <w:marBottom w:val="0"/>
              <w:divBdr>
                <w:top w:val="none" w:sz="0" w:space="0" w:color="auto"/>
                <w:left w:val="none" w:sz="0" w:space="0" w:color="auto"/>
                <w:bottom w:val="none" w:sz="0" w:space="0" w:color="auto"/>
                <w:right w:val="none" w:sz="0" w:space="0" w:color="auto"/>
              </w:divBdr>
            </w:div>
            <w:div w:id="774518456">
              <w:marLeft w:val="0"/>
              <w:marRight w:val="0"/>
              <w:marTop w:val="0"/>
              <w:marBottom w:val="0"/>
              <w:divBdr>
                <w:top w:val="none" w:sz="0" w:space="0" w:color="auto"/>
                <w:left w:val="none" w:sz="0" w:space="0" w:color="auto"/>
                <w:bottom w:val="none" w:sz="0" w:space="0" w:color="auto"/>
                <w:right w:val="none" w:sz="0" w:space="0" w:color="auto"/>
              </w:divBdr>
            </w:div>
            <w:div w:id="1274290334">
              <w:marLeft w:val="0"/>
              <w:marRight w:val="0"/>
              <w:marTop w:val="0"/>
              <w:marBottom w:val="0"/>
              <w:divBdr>
                <w:top w:val="none" w:sz="0" w:space="0" w:color="auto"/>
                <w:left w:val="none" w:sz="0" w:space="0" w:color="auto"/>
                <w:bottom w:val="none" w:sz="0" w:space="0" w:color="auto"/>
                <w:right w:val="none" w:sz="0" w:space="0" w:color="auto"/>
              </w:divBdr>
            </w:div>
            <w:div w:id="1862888398">
              <w:marLeft w:val="0"/>
              <w:marRight w:val="0"/>
              <w:marTop w:val="0"/>
              <w:marBottom w:val="0"/>
              <w:divBdr>
                <w:top w:val="none" w:sz="0" w:space="0" w:color="auto"/>
                <w:left w:val="none" w:sz="0" w:space="0" w:color="auto"/>
                <w:bottom w:val="none" w:sz="0" w:space="0" w:color="auto"/>
                <w:right w:val="none" w:sz="0" w:space="0" w:color="auto"/>
              </w:divBdr>
            </w:div>
            <w:div w:id="1856921885">
              <w:marLeft w:val="0"/>
              <w:marRight w:val="0"/>
              <w:marTop w:val="0"/>
              <w:marBottom w:val="0"/>
              <w:divBdr>
                <w:top w:val="none" w:sz="0" w:space="0" w:color="auto"/>
                <w:left w:val="none" w:sz="0" w:space="0" w:color="auto"/>
                <w:bottom w:val="none" w:sz="0" w:space="0" w:color="auto"/>
                <w:right w:val="none" w:sz="0" w:space="0" w:color="auto"/>
              </w:divBdr>
            </w:div>
            <w:div w:id="684794210">
              <w:marLeft w:val="0"/>
              <w:marRight w:val="0"/>
              <w:marTop w:val="0"/>
              <w:marBottom w:val="0"/>
              <w:divBdr>
                <w:top w:val="none" w:sz="0" w:space="0" w:color="auto"/>
                <w:left w:val="none" w:sz="0" w:space="0" w:color="auto"/>
                <w:bottom w:val="none" w:sz="0" w:space="0" w:color="auto"/>
                <w:right w:val="none" w:sz="0" w:space="0" w:color="auto"/>
              </w:divBdr>
            </w:div>
            <w:div w:id="11182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1320924">
      <w:bodyDiv w:val="1"/>
      <w:marLeft w:val="0"/>
      <w:marRight w:val="0"/>
      <w:marTop w:val="0"/>
      <w:marBottom w:val="0"/>
      <w:divBdr>
        <w:top w:val="none" w:sz="0" w:space="0" w:color="auto"/>
        <w:left w:val="none" w:sz="0" w:space="0" w:color="auto"/>
        <w:bottom w:val="none" w:sz="0" w:space="0" w:color="auto"/>
        <w:right w:val="none" w:sz="0" w:space="0" w:color="auto"/>
      </w:divBdr>
      <w:divsChild>
        <w:div w:id="991642850">
          <w:marLeft w:val="0"/>
          <w:marRight w:val="0"/>
          <w:marTop w:val="0"/>
          <w:marBottom w:val="0"/>
          <w:divBdr>
            <w:top w:val="none" w:sz="0" w:space="0" w:color="auto"/>
            <w:left w:val="none" w:sz="0" w:space="0" w:color="auto"/>
            <w:bottom w:val="none" w:sz="0" w:space="0" w:color="auto"/>
            <w:right w:val="none" w:sz="0" w:space="0" w:color="auto"/>
          </w:divBdr>
          <w:divsChild>
            <w:div w:id="522406031">
              <w:marLeft w:val="0"/>
              <w:marRight w:val="0"/>
              <w:marTop w:val="0"/>
              <w:marBottom w:val="0"/>
              <w:divBdr>
                <w:top w:val="none" w:sz="0" w:space="0" w:color="auto"/>
                <w:left w:val="none" w:sz="0" w:space="0" w:color="auto"/>
                <w:bottom w:val="none" w:sz="0" w:space="0" w:color="auto"/>
                <w:right w:val="none" w:sz="0" w:space="0" w:color="auto"/>
              </w:divBdr>
            </w:div>
            <w:div w:id="1134983501">
              <w:marLeft w:val="0"/>
              <w:marRight w:val="0"/>
              <w:marTop w:val="0"/>
              <w:marBottom w:val="0"/>
              <w:divBdr>
                <w:top w:val="none" w:sz="0" w:space="0" w:color="auto"/>
                <w:left w:val="none" w:sz="0" w:space="0" w:color="auto"/>
                <w:bottom w:val="none" w:sz="0" w:space="0" w:color="auto"/>
                <w:right w:val="none" w:sz="0" w:space="0" w:color="auto"/>
              </w:divBdr>
            </w:div>
            <w:div w:id="732002347">
              <w:marLeft w:val="0"/>
              <w:marRight w:val="0"/>
              <w:marTop w:val="0"/>
              <w:marBottom w:val="0"/>
              <w:divBdr>
                <w:top w:val="none" w:sz="0" w:space="0" w:color="auto"/>
                <w:left w:val="none" w:sz="0" w:space="0" w:color="auto"/>
                <w:bottom w:val="none" w:sz="0" w:space="0" w:color="auto"/>
                <w:right w:val="none" w:sz="0" w:space="0" w:color="auto"/>
              </w:divBdr>
            </w:div>
            <w:div w:id="917207776">
              <w:marLeft w:val="0"/>
              <w:marRight w:val="0"/>
              <w:marTop w:val="0"/>
              <w:marBottom w:val="0"/>
              <w:divBdr>
                <w:top w:val="none" w:sz="0" w:space="0" w:color="auto"/>
                <w:left w:val="none" w:sz="0" w:space="0" w:color="auto"/>
                <w:bottom w:val="none" w:sz="0" w:space="0" w:color="auto"/>
                <w:right w:val="none" w:sz="0" w:space="0" w:color="auto"/>
              </w:divBdr>
            </w:div>
            <w:div w:id="495537021">
              <w:marLeft w:val="0"/>
              <w:marRight w:val="0"/>
              <w:marTop w:val="0"/>
              <w:marBottom w:val="0"/>
              <w:divBdr>
                <w:top w:val="none" w:sz="0" w:space="0" w:color="auto"/>
                <w:left w:val="none" w:sz="0" w:space="0" w:color="auto"/>
                <w:bottom w:val="none" w:sz="0" w:space="0" w:color="auto"/>
                <w:right w:val="none" w:sz="0" w:space="0" w:color="auto"/>
              </w:divBdr>
            </w:div>
            <w:div w:id="673385743">
              <w:marLeft w:val="0"/>
              <w:marRight w:val="0"/>
              <w:marTop w:val="0"/>
              <w:marBottom w:val="0"/>
              <w:divBdr>
                <w:top w:val="none" w:sz="0" w:space="0" w:color="auto"/>
                <w:left w:val="none" w:sz="0" w:space="0" w:color="auto"/>
                <w:bottom w:val="none" w:sz="0" w:space="0" w:color="auto"/>
                <w:right w:val="none" w:sz="0" w:space="0" w:color="auto"/>
              </w:divBdr>
            </w:div>
            <w:div w:id="2028288043">
              <w:marLeft w:val="0"/>
              <w:marRight w:val="0"/>
              <w:marTop w:val="0"/>
              <w:marBottom w:val="0"/>
              <w:divBdr>
                <w:top w:val="none" w:sz="0" w:space="0" w:color="auto"/>
                <w:left w:val="none" w:sz="0" w:space="0" w:color="auto"/>
                <w:bottom w:val="none" w:sz="0" w:space="0" w:color="auto"/>
                <w:right w:val="none" w:sz="0" w:space="0" w:color="auto"/>
              </w:divBdr>
            </w:div>
            <w:div w:id="1950046693">
              <w:marLeft w:val="0"/>
              <w:marRight w:val="0"/>
              <w:marTop w:val="0"/>
              <w:marBottom w:val="0"/>
              <w:divBdr>
                <w:top w:val="none" w:sz="0" w:space="0" w:color="auto"/>
                <w:left w:val="none" w:sz="0" w:space="0" w:color="auto"/>
                <w:bottom w:val="none" w:sz="0" w:space="0" w:color="auto"/>
                <w:right w:val="none" w:sz="0" w:space="0" w:color="auto"/>
              </w:divBdr>
            </w:div>
            <w:div w:id="1056392446">
              <w:marLeft w:val="0"/>
              <w:marRight w:val="0"/>
              <w:marTop w:val="0"/>
              <w:marBottom w:val="0"/>
              <w:divBdr>
                <w:top w:val="none" w:sz="0" w:space="0" w:color="auto"/>
                <w:left w:val="none" w:sz="0" w:space="0" w:color="auto"/>
                <w:bottom w:val="none" w:sz="0" w:space="0" w:color="auto"/>
                <w:right w:val="none" w:sz="0" w:space="0" w:color="auto"/>
              </w:divBdr>
            </w:div>
            <w:div w:id="1547063634">
              <w:marLeft w:val="0"/>
              <w:marRight w:val="0"/>
              <w:marTop w:val="0"/>
              <w:marBottom w:val="0"/>
              <w:divBdr>
                <w:top w:val="none" w:sz="0" w:space="0" w:color="auto"/>
                <w:left w:val="none" w:sz="0" w:space="0" w:color="auto"/>
                <w:bottom w:val="none" w:sz="0" w:space="0" w:color="auto"/>
                <w:right w:val="none" w:sz="0" w:space="0" w:color="auto"/>
              </w:divBdr>
            </w:div>
            <w:div w:id="1503159213">
              <w:marLeft w:val="0"/>
              <w:marRight w:val="0"/>
              <w:marTop w:val="0"/>
              <w:marBottom w:val="0"/>
              <w:divBdr>
                <w:top w:val="none" w:sz="0" w:space="0" w:color="auto"/>
                <w:left w:val="none" w:sz="0" w:space="0" w:color="auto"/>
                <w:bottom w:val="none" w:sz="0" w:space="0" w:color="auto"/>
                <w:right w:val="none" w:sz="0" w:space="0" w:color="auto"/>
              </w:divBdr>
            </w:div>
            <w:div w:id="312485943">
              <w:marLeft w:val="0"/>
              <w:marRight w:val="0"/>
              <w:marTop w:val="0"/>
              <w:marBottom w:val="0"/>
              <w:divBdr>
                <w:top w:val="none" w:sz="0" w:space="0" w:color="auto"/>
                <w:left w:val="none" w:sz="0" w:space="0" w:color="auto"/>
                <w:bottom w:val="none" w:sz="0" w:space="0" w:color="auto"/>
                <w:right w:val="none" w:sz="0" w:space="0" w:color="auto"/>
              </w:divBdr>
            </w:div>
            <w:div w:id="1421835091">
              <w:marLeft w:val="0"/>
              <w:marRight w:val="0"/>
              <w:marTop w:val="0"/>
              <w:marBottom w:val="0"/>
              <w:divBdr>
                <w:top w:val="none" w:sz="0" w:space="0" w:color="auto"/>
                <w:left w:val="none" w:sz="0" w:space="0" w:color="auto"/>
                <w:bottom w:val="none" w:sz="0" w:space="0" w:color="auto"/>
                <w:right w:val="none" w:sz="0" w:space="0" w:color="auto"/>
              </w:divBdr>
            </w:div>
            <w:div w:id="138105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02122485">
      <w:bodyDiv w:val="1"/>
      <w:marLeft w:val="0"/>
      <w:marRight w:val="0"/>
      <w:marTop w:val="0"/>
      <w:marBottom w:val="0"/>
      <w:divBdr>
        <w:top w:val="none" w:sz="0" w:space="0" w:color="auto"/>
        <w:left w:val="none" w:sz="0" w:space="0" w:color="auto"/>
        <w:bottom w:val="none" w:sz="0" w:space="0" w:color="auto"/>
        <w:right w:val="none" w:sz="0" w:space="0" w:color="auto"/>
      </w:divBdr>
      <w:divsChild>
        <w:div w:id="2111461103">
          <w:marLeft w:val="0"/>
          <w:marRight w:val="0"/>
          <w:marTop w:val="0"/>
          <w:marBottom w:val="0"/>
          <w:divBdr>
            <w:top w:val="none" w:sz="0" w:space="0" w:color="auto"/>
            <w:left w:val="none" w:sz="0" w:space="0" w:color="auto"/>
            <w:bottom w:val="none" w:sz="0" w:space="0" w:color="auto"/>
            <w:right w:val="none" w:sz="0" w:space="0" w:color="auto"/>
          </w:divBdr>
        </w:div>
      </w:divsChild>
    </w:div>
    <w:div w:id="1969969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ohamed-elseasy@eru.edu.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Reproductive 2018</cp:lastModifiedBy>
  <cp:revision>2</cp:revision>
  <dcterms:created xsi:type="dcterms:W3CDTF">2022-05-25T03:56:00Z</dcterms:created>
  <dcterms:modified xsi:type="dcterms:W3CDTF">2022-05-25T03:56:00Z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