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line="254" w:lineRule="auto"/>
        <w:ind w:left="108"/>
      </w:pPr>
      <w:r>
        <w:rPr>
          <w:color w:val="EE220C"/>
        </w:rPr>
        <w:t>A Smart Personalised Nutrition service as a determinant in modifying Gut Microbiota composition: protocol of nutritional intervention of the Stance4Health project</w:t>
      </w:r>
    </w:p>
    <w:p>
      <w:pPr>
        <w:spacing w:before="184"/>
        <w:ind w:left="238" w:right="0" w:firstLine="0"/>
        <w:jc w:val="left"/>
        <w:rPr>
          <w:b/>
          <w:sz w:val="32"/>
        </w:rPr>
      </w:pPr>
      <w:r>
        <w:rPr>
          <w:b/>
          <w:color w:val="24408F"/>
          <w:sz w:val="32"/>
        </w:rPr>
        <w:t>Fabio Lauria</w:t>
      </w:r>
    </w:p>
    <w:p>
      <w:pPr>
        <w:spacing w:line="372" w:lineRule="auto" w:before="106"/>
        <w:ind w:left="238" w:right="2230" w:firstLine="0"/>
        <w:jc w:val="left"/>
        <w:rPr>
          <w:i/>
          <w:sz w:val="20"/>
        </w:rPr>
      </w:pPr>
      <w:r>
        <w:rPr>
          <w:i/>
          <w:color w:val="221F1F"/>
          <w:sz w:val="20"/>
        </w:rPr>
        <w:t>Institute of Food Science </w:t>
      </w:r>
      <w:r>
        <w:rPr>
          <w:i/>
          <w:color w:val="221F1F"/>
          <w:sz w:val="20"/>
        </w:rPr>
        <w:t>National Research Council, Italy</w:t>
      </w:r>
    </w:p>
    <w:p>
      <w:pPr>
        <w:pStyle w:val="BodyText"/>
        <w:spacing w:before="11"/>
        <w:rPr>
          <w:i/>
          <w:sz w:val="26"/>
        </w:rPr>
      </w:pPr>
    </w:p>
    <w:p>
      <w:pPr>
        <w:pStyle w:val="Heading2"/>
        <w:ind w:left="219"/>
      </w:pPr>
      <w:r>
        <w:rPr>
          <w:color w:val="EC1651"/>
        </w:rPr>
        <w:t>Abstract</w:t>
      </w:r>
    </w:p>
    <w:p>
      <w:pPr>
        <w:pStyle w:val="BodyText"/>
        <w:spacing w:line="276" w:lineRule="auto" w:before="114"/>
        <w:ind w:left="521" w:right="38"/>
        <w:jc w:val="both"/>
      </w:pPr>
      <w:r>
        <w:rPr/>
        <w:t>Our </w:t>
      </w:r>
      <w:r>
        <w:rPr>
          <w:b/>
        </w:rPr>
        <w:t>Gut Microbiota </w:t>
      </w:r>
      <w:r>
        <w:rPr/>
        <w:t>(GM) has recently been shown to play</w:t>
      </w:r>
      <w:r>
        <w:rPr>
          <w:spacing w:val="-26"/>
        </w:rPr>
        <w:t> </w:t>
      </w:r>
      <w:r>
        <w:rPr/>
        <w:t>a role in the pathogenesis of “civilization diseases” such as obesity, cancer, cardiovascular disease, diabetes</w:t>
      </w:r>
      <w:r>
        <w:rPr>
          <w:position w:val="6"/>
          <w:sz w:val="12"/>
        </w:rPr>
        <w:t>1,2 </w:t>
      </w:r>
      <w:r>
        <w:rPr/>
        <w:t>and immune disorders like coeliac disease</w:t>
      </w:r>
      <w:r>
        <w:rPr>
          <w:position w:val="6"/>
          <w:sz w:val="12"/>
        </w:rPr>
        <w:t>3 </w:t>
      </w:r>
      <w:r>
        <w:rPr/>
        <w:t>and food allergy</w:t>
      </w:r>
      <w:r>
        <w:rPr>
          <w:position w:val="6"/>
          <w:sz w:val="12"/>
        </w:rPr>
        <w:t>4</w:t>
      </w:r>
      <w:r>
        <w:rPr/>
        <w:t>. Evidence demonstrates that GM enhances the efficiency of energy harvest from foods and influences the synthesis, bioavailability, and </w:t>
      </w:r>
      <w:r>
        <w:rPr>
          <w:spacing w:val="-3"/>
        </w:rPr>
        <w:t>function </w:t>
      </w:r>
      <w:r>
        <w:rPr/>
        <w:t>of nutrients. This activity produces different beneficial metabolites and microbial compounds such as short-chain fatty acids, polyphenol metabolites, neuroactive chemical species, acting as signaling molecules for metabolically active organs</w:t>
      </w:r>
      <w:r>
        <w:rPr>
          <w:position w:val="6"/>
          <w:sz w:val="12"/>
        </w:rPr>
        <w:t>5,6</w:t>
      </w:r>
      <w:r>
        <w:rPr/>
        <w:t>. The close relationship between GM and diet-related diseases suggests focusing research attention on evaluating their interactions to improve our health </w:t>
      </w:r>
      <w:r>
        <w:rPr>
          <w:spacing w:val="-3"/>
        </w:rPr>
        <w:t>by </w:t>
      </w:r>
      <w:r>
        <w:rPr/>
        <w:t>modulating </w:t>
      </w:r>
      <w:r>
        <w:rPr>
          <w:spacing w:val="-2"/>
        </w:rPr>
        <w:t>our </w:t>
      </w:r>
      <w:r>
        <w:rPr/>
        <w:t>diet. The Stance4Health (S4H) project, using a nutritional intervention program, aims at evaluating the efficacy of a </w:t>
      </w:r>
      <w:r>
        <w:rPr>
          <w:b/>
        </w:rPr>
        <w:t>Smart</w:t>
      </w:r>
      <w:r>
        <w:rPr>
          <w:b/>
          <w:spacing w:val="-13"/>
        </w:rPr>
        <w:t> </w:t>
      </w:r>
      <w:r>
        <w:rPr>
          <w:b/>
        </w:rPr>
        <w:t>Personalised</w:t>
      </w:r>
      <w:r>
        <w:rPr>
          <w:b/>
          <w:spacing w:val="-12"/>
        </w:rPr>
        <w:t> </w:t>
      </w:r>
      <w:r>
        <w:rPr>
          <w:b/>
        </w:rPr>
        <w:t>Nutrition</w:t>
      </w:r>
      <w:r>
        <w:rPr>
          <w:b/>
          <w:spacing w:val="-15"/>
        </w:rPr>
        <w:t> </w:t>
      </w:r>
      <w:r>
        <w:rPr/>
        <w:t>(SPN)</w:t>
      </w:r>
      <w:r>
        <w:rPr>
          <w:spacing w:val="-11"/>
        </w:rPr>
        <w:t> </w:t>
      </w:r>
      <w:r>
        <w:rPr/>
        <w:t>service</w:t>
      </w:r>
      <w:r>
        <w:rPr>
          <w:spacing w:val="-11"/>
        </w:rPr>
        <w:t> </w:t>
      </w:r>
      <w:r>
        <w:rPr/>
        <w:t>in</w:t>
      </w:r>
      <w:r>
        <w:rPr>
          <w:spacing w:val="-15"/>
        </w:rPr>
        <w:t> </w:t>
      </w:r>
      <w:r>
        <w:rPr/>
        <w:t>modifying</w:t>
      </w:r>
      <w:r>
        <w:rPr>
          <w:spacing w:val="-12"/>
        </w:rPr>
        <w:t> </w:t>
      </w:r>
      <w:r>
        <w:rPr>
          <w:spacing w:val="-4"/>
        </w:rPr>
        <w:t>GM </w:t>
      </w:r>
      <w:r>
        <w:rPr/>
        <w:t>composition and metabolic function and improving consumer</w:t>
      </w:r>
      <w:r>
        <w:rPr>
          <w:spacing w:val="-10"/>
        </w:rPr>
        <w:t> </w:t>
      </w:r>
      <w:r>
        <w:rPr/>
        <w:t>empowerment</w:t>
      </w:r>
      <w:r>
        <w:rPr>
          <w:spacing w:val="-11"/>
        </w:rPr>
        <w:t> </w:t>
      </w:r>
      <w:r>
        <w:rPr/>
        <w:t>through</w:t>
      </w:r>
      <w:r>
        <w:rPr>
          <w:spacing w:val="-9"/>
        </w:rPr>
        <w:t> </w:t>
      </w:r>
      <w:r>
        <w:rPr/>
        <w:t>technology</w:t>
      </w:r>
      <w:r>
        <w:rPr>
          <w:spacing w:val="-9"/>
        </w:rPr>
        <w:t> </w:t>
      </w:r>
      <w:r>
        <w:rPr/>
        <w:t>adoption</w:t>
      </w:r>
      <w:r>
        <w:rPr>
          <w:position w:val="6"/>
          <w:sz w:val="12"/>
        </w:rPr>
        <w:t>7</w:t>
      </w:r>
      <w:r>
        <w:rPr/>
        <w:t>.</w:t>
      </w:r>
      <w:r>
        <w:rPr>
          <w:spacing w:val="-10"/>
        </w:rPr>
        <w:t> </w:t>
      </w:r>
      <w:r>
        <w:rPr/>
        <w:t>SPN will be delivered to consumers through the nutritional software mobile app </w:t>
      </w:r>
      <w:r>
        <w:rPr>
          <w:b/>
        </w:rPr>
        <w:t>i-Diet Stance4Health</w:t>
      </w:r>
      <w:r>
        <w:rPr/>
        <w:t>, a </w:t>
      </w:r>
      <w:r>
        <w:rPr>
          <w:b/>
        </w:rPr>
        <w:t>wearable band </w:t>
      </w:r>
      <w:r>
        <w:rPr/>
        <w:t>capable to measure daily activity, and the </w:t>
      </w:r>
      <w:r>
        <w:rPr>
          <w:b/>
        </w:rPr>
        <w:t>tailored production</w:t>
      </w:r>
      <w:r>
        <w:rPr>
          <w:b/>
          <w:spacing w:val="-9"/>
        </w:rPr>
        <w:t> </w:t>
      </w:r>
      <w:r>
        <w:rPr>
          <w:b/>
        </w:rPr>
        <w:t>and</w:t>
      </w:r>
      <w:r>
        <w:rPr>
          <w:b/>
          <w:spacing w:val="-6"/>
        </w:rPr>
        <w:t> </w:t>
      </w:r>
      <w:r>
        <w:rPr>
          <w:b/>
        </w:rPr>
        <w:t>delivery</w:t>
      </w:r>
      <w:r>
        <w:rPr>
          <w:b/>
          <w:spacing w:val="-8"/>
        </w:rPr>
        <w:t> </w:t>
      </w:r>
      <w:r>
        <w:rPr>
          <w:b/>
        </w:rPr>
        <w:t>of</w:t>
      </w:r>
      <w:r>
        <w:rPr>
          <w:b/>
          <w:spacing w:val="-6"/>
        </w:rPr>
        <w:t> </w:t>
      </w:r>
      <w:r>
        <w:rPr>
          <w:b/>
        </w:rPr>
        <w:t>foods</w:t>
      </w:r>
      <w:r>
        <w:rPr>
          <w:b/>
          <w:spacing w:val="-8"/>
        </w:rPr>
        <w:t> </w:t>
      </w:r>
      <w:r>
        <w:rPr/>
        <w:t>for</w:t>
      </w:r>
      <w:r>
        <w:rPr>
          <w:spacing w:val="-5"/>
        </w:rPr>
        <w:t> </w:t>
      </w:r>
      <w:r>
        <w:rPr/>
        <w:t>individuals</w:t>
      </w:r>
      <w:r>
        <w:rPr>
          <w:spacing w:val="-9"/>
        </w:rPr>
        <w:t> </w:t>
      </w:r>
      <w:r>
        <w:rPr/>
        <w:t>or</w:t>
      </w:r>
      <w:r>
        <w:rPr>
          <w:spacing w:val="-5"/>
        </w:rPr>
        <w:t> </w:t>
      </w:r>
      <w:r>
        <w:rPr/>
        <w:t>specific groups</w:t>
      </w:r>
      <w:r>
        <w:rPr>
          <w:spacing w:val="-13"/>
        </w:rPr>
        <w:t> </w:t>
      </w:r>
      <w:r>
        <w:rPr/>
        <w:t>of</w:t>
      </w:r>
      <w:r>
        <w:rPr>
          <w:spacing w:val="-12"/>
        </w:rPr>
        <w:t> </w:t>
      </w:r>
      <w:r>
        <w:rPr/>
        <w:t>population</w:t>
      </w:r>
      <w:r>
        <w:rPr>
          <w:spacing w:val="-10"/>
        </w:rPr>
        <w:t> </w:t>
      </w:r>
      <w:r>
        <w:rPr/>
        <w:t>(Figure</w:t>
      </w:r>
      <w:r>
        <w:rPr>
          <w:spacing w:val="-9"/>
        </w:rPr>
        <w:t> </w:t>
      </w:r>
      <w:r>
        <w:rPr/>
        <w:t>1).</w:t>
      </w:r>
      <w:r>
        <w:rPr>
          <w:spacing w:val="-11"/>
        </w:rPr>
        <w:t> </w:t>
      </w:r>
      <w:r>
        <w:rPr/>
        <w:t>The</w:t>
      </w:r>
      <w:r>
        <w:rPr>
          <w:spacing w:val="-10"/>
        </w:rPr>
        <w:t> </w:t>
      </w:r>
      <w:r>
        <w:rPr/>
        <w:t>nutritional</w:t>
      </w:r>
      <w:r>
        <w:rPr>
          <w:spacing w:val="-12"/>
        </w:rPr>
        <w:t> </w:t>
      </w:r>
      <w:r>
        <w:rPr/>
        <w:t>intervention will include the implementation of a multicentre, parallel group randomised controlled trial. A statistical model was developed to predict nutrients that must </w:t>
      </w:r>
      <w:r>
        <w:rPr>
          <w:spacing w:val="-3"/>
        </w:rPr>
        <w:t>be </w:t>
      </w:r>
      <w:r>
        <w:rPr/>
        <w:t>incorporated into the diet of participants to transform their gut microbiota</w:t>
      </w:r>
      <w:r>
        <w:rPr>
          <w:spacing w:val="-10"/>
        </w:rPr>
        <w:t> </w:t>
      </w:r>
      <w:r>
        <w:rPr/>
        <w:t>back</w:t>
      </w:r>
      <w:r>
        <w:rPr>
          <w:spacing w:val="-10"/>
        </w:rPr>
        <w:t> </w:t>
      </w:r>
      <w:r>
        <w:rPr/>
        <w:t>into</w:t>
      </w:r>
      <w:r>
        <w:rPr>
          <w:spacing w:val="-12"/>
        </w:rPr>
        <w:t> </w:t>
      </w:r>
      <w:r>
        <w:rPr/>
        <w:t>a</w:t>
      </w:r>
      <w:r>
        <w:rPr>
          <w:spacing w:val="-9"/>
        </w:rPr>
        <w:t> </w:t>
      </w:r>
      <w:r>
        <w:rPr/>
        <w:t>healthy</w:t>
      </w:r>
      <w:r>
        <w:rPr>
          <w:spacing w:val="-9"/>
        </w:rPr>
        <w:t> </w:t>
      </w:r>
      <w:r>
        <w:rPr/>
        <w:t>state,</w:t>
      </w:r>
      <w:r>
        <w:rPr>
          <w:spacing w:val="-10"/>
        </w:rPr>
        <w:t> </w:t>
      </w:r>
      <w:r>
        <w:rPr>
          <w:spacing w:val="-3"/>
        </w:rPr>
        <w:t>close</w:t>
      </w:r>
      <w:r>
        <w:rPr>
          <w:spacing w:val="-9"/>
        </w:rPr>
        <w:t> </w:t>
      </w:r>
      <w:r>
        <w:rPr/>
        <w:t>to</w:t>
      </w:r>
      <w:r>
        <w:rPr>
          <w:spacing w:val="-11"/>
        </w:rPr>
        <w:t> </w:t>
      </w:r>
      <w:r>
        <w:rPr/>
        <w:t>that</w:t>
      </w:r>
      <w:r>
        <w:rPr>
          <w:spacing w:val="-11"/>
        </w:rPr>
        <w:t> </w:t>
      </w:r>
      <w:r>
        <w:rPr/>
        <w:t>of</w:t>
      </w:r>
      <w:r>
        <w:rPr>
          <w:spacing w:val="-10"/>
        </w:rPr>
        <w:t> </w:t>
      </w:r>
      <w:r>
        <w:rPr/>
        <w:t>normal weight subjects. Based on the statistical model, </w:t>
      </w:r>
      <w:r>
        <w:rPr>
          <w:spacing w:val="-3"/>
        </w:rPr>
        <w:t>the </w:t>
      </w:r>
      <w:r>
        <w:rPr/>
        <w:t>nutritional software mobile app i-Diet Stance4Health will suggest food choices in retailers and give participants specific advice about nutrition and lifestyle (taking or not into account GM composition). The app will generate personalised diets based on Mediterranean dietary patterns and participants’ health status, objectives, and habits (desired daily intakes, dishes that make up these</w:t>
      </w:r>
      <w:r>
        <w:rPr>
          <w:spacing w:val="-16"/>
        </w:rPr>
        <w:t> </w:t>
      </w:r>
      <w:r>
        <w:rPr/>
        <w:t>intakes).</w:t>
      </w:r>
    </w:p>
    <w:p>
      <w:pPr>
        <w:pStyle w:val="BodyText"/>
        <w:spacing w:before="3" w:after="39"/>
        <w:rPr>
          <w:sz w:val="26"/>
        </w:rPr>
      </w:pPr>
      <w:r>
        <w:rPr/>
        <w:br w:type="column"/>
      </w:r>
      <w:r>
        <w:rPr>
          <w:sz w:val="26"/>
        </w:rPr>
      </w:r>
    </w:p>
    <w:p>
      <w:pPr>
        <w:pStyle w:val="BodyText"/>
        <w:ind w:left="156"/>
        <w:rPr>
          <w:sz w:val="20"/>
        </w:rPr>
      </w:pPr>
      <w:r>
        <w:rPr>
          <w:sz w:val="20"/>
        </w:rPr>
        <w:pict>
          <v:group style="width:252.25pt;height:223.85pt;mso-position-horizontal-relative:char;mso-position-vertical-relative:line" coordorigin="0,0" coordsize="5045,4477">
            <v:shape style="position:absolute;left:3196;top:39;width:1776;height:2292" type="#_x0000_t75" stroked="false">
              <v:imagedata r:id="rId7" o:title=""/>
            </v:shape>
            <v:shape style="position:absolute;left:10;top:10;width:5025;height:4457" coordorigin="10,10" coordsize="5025,4457" path="m104,10l67,16,37,30,17,53,10,80,10,4397,17,4424,37,4447,67,4461,104,4467,4941,4467,4978,4461,5008,4447,5028,4424,5035,4397,5035,80,5028,53,5008,30,4978,16,4941,10,104,10xe" filled="false" stroked="true" strokeweight="1.000001pt" strokecolor="#ec1651">
              <v:path arrowok="t"/>
              <v:stroke dashstyle="solid"/>
            </v:shape>
            <v:shape style="position:absolute;left:0;top:0;width:5045;height:4477" type="#_x0000_t202" filled="false" stroked="false">
              <v:textbox inset="0,0,0,0">
                <w:txbxContent>
                  <w:p>
                    <w:pPr>
                      <w:spacing w:line="278" w:lineRule="exact" w:before="47"/>
                      <w:ind w:left="53" w:right="0" w:firstLine="0"/>
                      <w:jc w:val="left"/>
                      <w:rPr>
                        <w:b/>
                        <w:sz w:val="24"/>
                      </w:rPr>
                    </w:pPr>
                    <w:r>
                      <w:rPr>
                        <w:b/>
                        <w:color w:val="EC1651"/>
                        <w:sz w:val="24"/>
                      </w:rPr>
                      <w:t>Biography</w:t>
                    </w:r>
                  </w:p>
                  <w:p>
                    <w:pPr>
                      <w:spacing w:line="240" w:lineRule="auto" w:before="0"/>
                      <w:ind w:left="53" w:right="2013" w:firstLine="0"/>
                      <w:jc w:val="both"/>
                      <w:rPr>
                        <w:sz w:val="22"/>
                      </w:rPr>
                    </w:pPr>
                    <w:r>
                      <w:rPr>
                        <w:sz w:val="22"/>
                      </w:rPr>
                      <w:t>He is a researcher of the Epidemiology and Population Genetic Unit. He has expertise in molecular</w:t>
                    </w:r>
                    <w:r>
                      <w:rPr>
                        <w:spacing w:val="-23"/>
                        <w:sz w:val="22"/>
                      </w:rPr>
                      <w:t> </w:t>
                    </w:r>
                    <w:r>
                      <w:rPr>
                        <w:sz w:val="22"/>
                      </w:rPr>
                      <w:t>biology and nutritional epidemiology. His activity </w:t>
                    </w:r>
                    <w:r>
                      <w:rPr>
                        <w:spacing w:val="-3"/>
                        <w:sz w:val="22"/>
                      </w:rPr>
                      <w:t>is </w:t>
                    </w:r>
                    <w:r>
                      <w:rPr>
                        <w:sz w:val="22"/>
                      </w:rPr>
                      <w:t>focused on the understanding of the multifactorial causes</w:t>
                    </w:r>
                    <w:r>
                      <w:rPr>
                        <w:spacing w:val="-2"/>
                        <w:sz w:val="22"/>
                      </w:rPr>
                      <w:t> </w:t>
                    </w:r>
                    <w:r>
                      <w:rPr>
                        <w:sz w:val="22"/>
                      </w:rPr>
                      <w:t>of</w:t>
                    </w:r>
                  </w:p>
                  <w:p>
                    <w:pPr>
                      <w:spacing w:line="237" w:lineRule="exact" w:before="0"/>
                      <w:ind w:left="43" w:right="0" w:firstLine="0"/>
                      <w:jc w:val="both"/>
                      <w:rPr>
                        <w:sz w:val="22"/>
                      </w:rPr>
                    </w:pPr>
                    <w:r>
                      <w:rPr>
                        <w:sz w:val="22"/>
                      </w:rPr>
                      <w:t>nutrition-related diseases, the discovery of new</w:t>
                    </w:r>
                  </w:p>
                  <w:p>
                    <w:pPr>
                      <w:spacing w:line="240" w:lineRule="auto" w:before="0"/>
                      <w:ind w:left="43" w:right="74" w:firstLine="0"/>
                      <w:jc w:val="both"/>
                      <w:rPr>
                        <w:sz w:val="22"/>
                      </w:rPr>
                    </w:pPr>
                    <w:r>
                      <w:rPr>
                        <w:sz w:val="22"/>
                      </w:rPr>
                      <w:t>biomarkers to study the association between diet and health </w:t>
                    </w:r>
                    <w:r>
                      <w:rPr>
                        <w:spacing w:val="-3"/>
                        <w:sz w:val="22"/>
                      </w:rPr>
                      <w:t>and </w:t>
                    </w:r>
                    <w:r>
                      <w:rPr>
                        <w:sz w:val="22"/>
                      </w:rPr>
                      <w:t>the dissemination of results. The experimental approach of the Epidemiology </w:t>
                    </w:r>
                    <w:r>
                      <w:rPr>
                        <w:spacing w:val="-3"/>
                        <w:sz w:val="22"/>
                      </w:rPr>
                      <w:t>and </w:t>
                    </w:r>
                    <w:r>
                      <w:rPr>
                        <w:sz w:val="22"/>
                      </w:rPr>
                      <w:t>Population Genetic Unit in the epidemiological and</w:t>
                    </w:r>
                    <w:r>
                      <w:rPr>
                        <w:spacing w:val="-5"/>
                        <w:sz w:val="22"/>
                      </w:rPr>
                      <w:t> </w:t>
                    </w:r>
                    <w:r>
                      <w:rPr>
                        <w:sz w:val="22"/>
                      </w:rPr>
                      <w:t>nutritional</w:t>
                    </w:r>
                    <w:r>
                      <w:rPr>
                        <w:spacing w:val="-8"/>
                        <w:sz w:val="22"/>
                      </w:rPr>
                      <w:t> </w:t>
                    </w:r>
                    <w:r>
                      <w:rPr>
                        <w:sz w:val="22"/>
                      </w:rPr>
                      <w:t>field</w:t>
                    </w:r>
                    <w:r>
                      <w:rPr>
                        <w:spacing w:val="-5"/>
                        <w:sz w:val="22"/>
                      </w:rPr>
                      <w:t> </w:t>
                    </w:r>
                    <w:r>
                      <w:rPr>
                        <w:spacing w:val="-3"/>
                        <w:sz w:val="22"/>
                      </w:rPr>
                      <w:t>is</w:t>
                    </w:r>
                    <w:r>
                      <w:rPr>
                        <w:spacing w:val="-8"/>
                        <w:sz w:val="22"/>
                      </w:rPr>
                      <w:t> </w:t>
                    </w:r>
                    <w:r>
                      <w:rPr>
                        <w:sz w:val="22"/>
                      </w:rPr>
                      <w:t>based</w:t>
                    </w:r>
                    <w:r>
                      <w:rPr>
                        <w:spacing w:val="-9"/>
                        <w:sz w:val="22"/>
                      </w:rPr>
                      <w:t> </w:t>
                    </w:r>
                    <w:r>
                      <w:rPr>
                        <w:sz w:val="22"/>
                      </w:rPr>
                      <w:t>on</w:t>
                    </w:r>
                    <w:r>
                      <w:rPr>
                        <w:spacing w:val="-11"/>
                        <w:sz w:val="22"/>
                      </w:rPr>
                      <w:t> </w:t>
                    </w:r>
                    <w:r>
                      <w:rPr>
                        <w:sz w:val="22"/>
                      </w:rPr>
                      <w:t>the</w:t>
                    </w:r>
                    <w:r>
                      <w:rPr>
                        <w:spacing w:val="-6"/>
                        <w:sz w:val="22"/>
                      </w:rPr>
                      <w:t> </w:t>
                    </w:r>
                    <w:r>
                      <w:rPr>
                        <w:sz w:val="22"/>
                      </w:rPr>
                      <w:t>assessment</w:t>
                    </w:r>
                    <w:r>
                      <w:rPr>
                        <w:spacing w:val="-7"/>
                        <w:sz w:val="22"/>
                      </w:rPr>
                      <w:t> </w:t>
                    </w:r>
                    <w:r>
                      <w:rPr>
                        <w:spacing w:val="-4"/>
                        <w:sz w:val="22"/>
                      </w:rPr>
                      <w:t>of </w:t>
                    </w:r>
                    <w:r>
                      <w:rPr>
                        <w:sz w:val="22"/>
                      </w:rPr>
                      <w:t>genetic, nutritional and metabolic risk factors for nutrition related</w:t>
                    </w:r>
                    <w:r>
                      <w:rPr>
                        <w:spacing w:val="-4"/>
                        <w:sz w:val="22"/>
                      </w:rPr>
                      <w:t> </w:t>
                    </w:r>
                    <w:r>
                      <w:rPr>
                        <w:sz w:val="22"/>
                      </w:rPr>
                      <w:t>diseases.</w:t>
                    </w:r>
                  </w:p>
                </w:txbxContent>
              </v:textbox>
              <w10:wrap type="none"/>
            </v:shape>
          </v:group>
        </w:pict>
      </w:r>
      <w:r>
        <w:rPr>
          <w:sz w:val="20"/>
        </w:rPr>
      </w:r>
    </w:p>
    <w:p>
      <w:pPr>
        <w:pStyle w:val="BodyText"/>
        <w:rPr>
          <w:sz w:val="20"/>
        </w:rPr>
      </w:pPr>
    </w:p>
    <w:p>
      <w:pPr>
        <w:pStyle w:val="BodyText"/>
        <w:spacing w:before="11"/>
        <w:rPr>
          <w:sz w:val="20"/>
        </w:rPr>
      </w:pPr>
    </w:p>
    <w:p>
      <w:pPr>
        <w:pStyle w:val="BodyText"/>
        <w:spacing w:line="276" w:lineRule="auto"/>
        <w:ind w:left="108" w:right="174"/>
        <w:jc w:val="both"/>
      </w:pPr>
      <w:r>
        <w:rPr/>
        <w:t>The</w:t>
      </w:r>
      <w:r>
        <w:rPr>
          <w:spacing w:val="-16"/>
        </w:rPr>
        <w:t> </w:t>
      </w:r>
      <w:r>
        <w:rPr/>
        <w:t>eligible</w:t>
      </w:r>
      <w:r>
        <w:rPr>
          <w:spacing w:val="-15"/>
        </w:rPr>
        <w:t> </w:t>
      </w:r>
      <w:r>
        <w:rPr/>
        <w:t>participants</w:t>
      </w:r>
      <w:r>
        <w:rPr>
          <w:spacing w:val="-13"/>
        </w:rPr>
        <w:t> </w:t>
      </w:r>
      <w:r>
        <w:rPr/>
        <w:t>will</w:t>
      </w:r>
      <w:r>
        <w:rPr>
          <w:spacing w:val="-13"/>
        </w:rPr>
        <w:t> </w:t>
      </w:r>
      <w:r>
        <w:rPr>
          <w:spacing w:val="-3"/>
        </w:rPr>
        <w:t>be</w:t>
      </w:r>
      <w:r>
        <w:rPr>
          <w:spacing w:val="-10"/>
        </w:rPr>
        <w:t> </w:t>
      </w:r>
      <w:r>
        <w:rPr/>
        <w:t>randomly</w:t>
      </w:r>
      <w:r>
        <w:rPr>
          <w:spacing w:val="-11"/>
        </w:rPr>
        <w:t> </w:t>
      </w:r>
      <w:r>
        <w:rPr/>
        <w:t>assigned</w:t>
      </w:r>
      <w:r>
        <w:rPr>
          <w:spacing w:val="-17"/>
        </w:rPr>
        <w:t> </w:t>
      </w:r>
      <w:r>
        <w:rPr/>
        <w:t>to</w:t>
      </w:r>
      <w:r>
        <w:rPr>
          <w:spacing w:val="-13"/>
        </w:rPr>
        <w:t> </w:t>
      </w:r>
      <w:r>
        <w:rPr/>
        <w:t>a</w:t>
      </w:r>
      <w:r>
        <w:rPr>
          <w:spacing w:val="-16"/>
        </w:rPr>
        <w:t> </w:t>
      </w:r>
      <w:r>
        <w:rPr/>
        <w:t>12-weeks intervention with two different levels of personalised nutrition. The</w:t>
      </w:r>
      <w:r>
        <w:rPr>
          <w:spacing w:val="-10"/>
        </w:rPr>
        <w:t> </w:t>
      </w:r>
      <w:r>
        <w:rPr/>
        <w:t>entry-level</w:t>
      </w:r>
      <w:r>
        <w:rPr>
          <w:spacing w:val="-13"/>
        </w:rPr>
        <w:t> </w:t>
      </w:r>
      <w:r>
        <w:rPr/>
        <w:t>intervention</w:t>
      </w:r>
      <w:r>
        <w:rPr>
          <w:spacing w:val="-4"/>
        </w:rPr>
        <w:t> </w:t>
      </w:r>
      <w:r>
        <w:rPr/>
        <w:t>will</w:t>
      </w:r>
      <w:r>
        <w:rPr>
          <w:spacing w:val="-13"/>
        </w:rPr>
        <w:t> </w:t>
      </w:r>
      <w:r>
        <w:rPr/>
        <w:t>consist</w:t>
      </w:r>
      <w:r>
        <w:rPr>
          <w:spacing w:val="-6"/>
        </w:rPr>
        <w:t> </w:t>
      </w:r>
      <w:r>
        <w:rPr/>
        <w:t>of</w:t>
      </w:r>
      <w:r>
        <w:rPr>
          <w:spacing w:val="-7"/>
        </w:rPr>
        <w:t> </w:t>
      </w:r>
      <w:r>
        <w:rPr/>
        <w:t>the</w:t>
      </w:r>
      <w:r>
        <w:rPr>
          <w:spacing w:val="-10"/>
        </w:rPr>
        <w:t> </w:t>
      </w:r>
      <w:r>
        <w:rPr/>
        <w:t>use</w:t>
      </w:r>
      <w:r>
        <w:rPr>
          <w:spacing w:val="-4"/>
        </w:rPr>
        <w:t> </w:t>
      </w:r>
      <w:r>
        <w:rPr/>
        <w:t>of</w:t>
      </w:r>
      <w:r>
        <w:rPr>
          <w:spacing w:val="-7"/>
        </w:rPr>
        <w:t> </w:t>
      </w:r>
      <w:r>
        <w:rPr/>
        <w:t>the</w:t>
      </w:r>
      <w:r>
        <w:rPr>
          <w:spacing w:val="-9"/>
        </w:rPr>
        <w:t> </w:t>
      </w:r>
      <w:r>
        <w:rPr/>
        <w:t>“i-Diet Stance4Health” app and the analysis of gut microbiota and metabolites. The advanced level intervention will comprise activities</w:t>
      </w:r>
      <w:r>
        <w:rPr>
          <w:spacing w:val="-12"/>
        </w:rPr>
        <w:t> </w:t>
      </w:r>
      <w:r>
        <w:rPr/>
        <w:t>of</w:t>
      </w:r>
      <w:r>
        <w:rPr>
          <w:spacing w:val="-10"/>
        </w:rPr>
        <w:t> </w:t>
      </w:r>
      <w:r>
        <w:rPr/>
        <w:t>the</w:t>
      </w:r>
      <w:r>
        <w:rPr>
          <w:spacing w:val="-8"/>
        </w:rPr>
        <w:t> </w:t>
      </w:r>
      <w:r>
        <w:rPr/>
        <w:t>entry-level</w:t>
      </w:r>
      <w:r>
        <w:rPr>
          <w:spacing w:val="-11"/>
        </w:rPr>
        <w:t> </w:t>
      </w:r>
      <w:r>
        <w:rPr/>
        <w:t>plus</w:t>
      </w:r>
      <w:r>
        <w:rPr>
          <w:spacing w:val="-12"/>
        </w:rPr>
        <w:t> </w:t>
      </w:r>
      <w:r>
        <w:rPr/>
        <w:t>the</w:t>
      </w:r>
      <w:r>
        <w:rPr>
          <w:spacing w:val="-8"/>
        </w:rPr>
        <w:t> </w:t>
      </w:r>
      <w:r>
        <w:rPr/>
        <w:t>use</w:t>
      </w:r>
      <w:r>
        <w:rPr>
          <w:spacing w:val="-8"/>
        </w:rPr>
        <w:t> </w:t>
      </w:r>
      <w:r>
        <w:rPr/>
        <w:t>of</w:t>
      </w:r>
      <w:r>
        <w:rPr>
          <w:spacing w:val="-10"/>
        </w:rPr>
        <w:t> </w:t>
      </w:r>
      <w:r>
        <w:rPr/>
        <w:t>a</w:t>
      </w:r>
      <w:r>
        <w:rPr>
          <w:spacing w:val="-9"/>
        </w:rPr>
        <w:t> </w:t>
      </w:r>
      <w:r>
        <w:rPr/>
        <w:t>wearable</w:t>
      </w:r>
      <w:r>
        <w:rPr>
          <w:spacing w:val="-9"/>
        </w:rPr>
        <w:t> </w:t>
      </w:r>
      <w:r>
        <w:rPr/>
        <w:t>band,</w:t>
      </w:r>
      <w:r>
        <w:rPr>
          <w:spacing w:val="-9"/>
        </w:rPr>
        <w:t> </w:t>
      </w:r>
      <w:r>
        <w:rPr/>
        <w:t>and the intake of tannins extracts in pills (adults treated groups), fortified foods (children treated groups) or placebo (control groups).</w:t>
      </w:r>
    </w:p>
    <w:p>
      <w:pPr>
        <w:pStyle w:val="BodyText"/>
        <w:spacing w:line="276" w:lineRule="auto" w:before="117"/>
        <w:ind w:left="108" w:right="175"/>
        <w:jc w:val="both"/>
      </w:pPr>
      <w:r>
        <w:rPr/>
        <w:t>In detail, 200 Spanish and German adults will follow the entry- level intervention and 200 will follow the advanced level intervention equally divided into control and treated groups. The same criteria will be used for 400 Greek children equally divided into four groups.</w:t>
      </w:r>
    </w:p>
    <w:p>
      <w:pPr>
        <w:pStyle w:val="BodyText"/>
        <w:rPr>
          <w:sz w:val="20"/>
        </w:rPr>
      </w:pPr>
    </w:p>
    <w:p>
      <w:pPr>
        <w:pStyle w:val="BodyText"/>
        <w:spacing w:before="4"/>
        <w:rPr>
          <w:sz w:val="19"/>
        </w:rPr>
      </w:pPr>
      <w:r>
        <w:rPr/>
        <w:drawing>
          <wp:anchor distT="0" distB="0" distL="0" distR="0" allowOverlap="1" layoutInCell="1" locked="0" behindDoc="0" simplePos="0" relativeHeight="2">
            <wp:simplePos x="0" y="0"/>
            <wp:positionH relativeFrom="page">
              <wp:posOffset>3902595</wp:posOffset>
            </wp:positionH>
            <wp:positionV relativeFrom="paragraph">
              <wp:posOffset>167691</wp:posOffset>
            </wp:positionV>
            <wp:extent cx="3266941" cy="2468880"/>
            <wp:effectExtent l="0" t="0" r="0" b="0"/>
            <wp:wrapTopAndBottom/>
            <wp:docPr id="1" name="image2.jpeg"/>
            <wp:cNvGraphicFramePr>
              <a:graphicFrameLocks noChangeAspect="1"/>
            </wp:cNvGraphicFramePr>
            <a:graphic>
              <a:graphicData uri="http://schemas.openxmlformats.org/drawingml/2006/picture">
                <pic:pic>
                  <pic:nvPicPr>
                    <pic:cNvPr id="2" name="image2.jpeg"/>
                    <pic:cNvPicPr/>
                  </pic:nvPicPr>
                  <pic:blipFill>
                    <a:blip r:embed="rId8" cstate="print"/>
                    <a:stretch>
                      <a:fillRect/>
                    </a:stretch>
                  </pic:blipFill>
                  <pic:spPr>
                    <a:xfrm>
                      <a:off x="0" y="0"/>
                      <a:ext cx="3266941" cy="2468880"/>
                    </a:xfrm>
                    <a:prstGeom prst="rect">
                      <a:avLst/>
                    </a:prstGeom>
                  </pic:spPr>
                </pic:pic>
              </a:graphicData>
            </a:graphic>
          </wp:anchor>
        </w:drawing>
      </w:r>
    </w:p>
    <w:p>
      <w:pPr>
        <w:pStyle w:val="BodyText"/>
        <w:spacing w:before="159"/>
        <w:ind w:left="108"/>
        <w:jc w:val="both"/>
      </w:pPr>
      <w:r>
        <w:rPr/>
        <w:t>Figure 1</w:t>
      </w:r>
    </w:p>
    <w:p>
      <w:pPr>
        <w:spacing w:after="0"/>
        <w:jc w:val="both"/>
        <w:sectPr>
          <w:headerReference w:type="default" r:id="rId5"/>
          <w:footerReference w:type="default" r:id="rId6"/>
          <w:type w:val="continuous"/>
          <w:pgSz w:w="11910" w:h="16840"/>
          <w:pgMar w:header="28" w:footer="308" w:top="2040" w:bottom="500" w:left="520" w:right="420"/>
          <w:cols w:num="2" w:equalWidth="0">
            <w:col w:w="5383" w:space="118"/>
            <w:col w:w="5469"/>
          </w:cols>
        </w:sectPr>
      </w:pPr>
    </w:p>
    <w:p>
      <w:pPr>
        <w:pStyle w:val="BodyText"/>
        <w:rPr>
          <w:sz w:val="20"/>
        </w:rPr>
      </w:pPr>
    </w:p>
    <w:p>
      <w:pPr>
        <w:pStyle w:val="BodyText"/>
        <w:rPr>
          <w:sz w:val="20"/>
        </w:rPr>
      </w:pPr>
    </w:p>
    <w:p>
      <w:pPr>
        <w:pStyle w:val="BodyText"/>
        <w:rPr>
          <w:sz w:val="20"/>
        </w:rPr>
      </w:pPr>
    </w:p>
    <w:p>
      <w:pPr>
        <w:pStyle w:val="BodyText"/>
        <w:spacing w:before="2"/>
        <w:rPr>
          <w:sz w:val="20"/>
        </w:rPr>
      </w:pPr>
    </w:p>
    <w:p>
      <w:pPr>
        <w:pStyle w:val="BodyText"/>
        <w:spacing w:line="276" w:lineRule="auto" w:before="102"/>
        <w:ind w:left="252" w:right="5622"/>
        <w:jc w:val="both"/>
      </w:pPr>
      <w:r>
        <w:rPr/>
        <w:t>The results of the trial will be important to understand if the SNP service proposed by the S4H project will be capable of ameliorating the intestinal microbiota and empowering consumers to allow them to make healthy and sustainable dietary</w:t>
      </w:r>
      <w:r>
        <w:rPr>
          <w:spacing w:val="-9"/>
        </w:rPr>
        <w:t> </w:t>
      </w:r>
      <w:r>
        <w:rPr/>
        <w:t>choices.</w:t>
      </w:r>
      <w:r>
        <w:rPr>
          <w:spacing w:val="-11"/>
        </w:rPr>
        <w:t> </w:t>
      </w:r>
      <w:r>
        <w:rPr/>
        <w:t>The</w:t>
      </w:r>
      <w:r>
        <w:rPr>
          <w:spacing w:val="-8"/>
        </w:rPr>
        <w:t> </w:t>
      </w:r>
      <w:r>
        <w:rPr/>
        <w:t>SPN</w:t>
      </w:r>
      <w:r>
        <w:rPr>
          <w:spacing w:val="-12"/>
        </w:rPr>
        <w:t> </w:t>
      </w:r>
      <w:r>
        <w:rPr/>
        <w:t>will</w:t>
      </w:r>
      <w:r>
        <w:rPr>
          <w:spacing w:val="-12"/>
        </w:rPr>
        <w:t> </w:t>
      </w:r>
      <w:r>
        <w:rPr/>
        <w:t>be</w:t>
      </w:r>
      <w:r>
        <w:rPr>
          <w:spacing w:val="-8"/>
        </w:rPr>
        <w:t> </w:t>
      </w:r>
      <w:r>
        <w:rPr/>
        <w:t>provided</w:t>
      </w:r>
      <w:r>
        <w:rPr>
          <w:spacing w:val="-11"/>
        </w:rPr>
        <w:t> </w:t>
      </w:r>
      <w:r>
        <w:rPr/>
        <w:t>to</w:t>
      </w:r>
      <w:r>
        <w:rPr>
          <w:spacing w:val="-12"/>
        </w:rPr>
        <w:t> </w:t>
      </w:r>
      <w:r>
        <w:rPr/>
        <w:t>consumers</w:t>
      </w:r>
      <w:r>
        <w:rPr>
          <w:spacing w:val="-11"/>
        </w:rPr>
        <w:t> </w:t>
      </w:r>
      <w:r>
        <w:rPr/>
        <w:t>through different tools like the nutritional mobile app i-Diet Stance4Health, </w:t>
      </w:r>
      <w:r>
        <w:rPr>
          <w:spacing w:val="-3"/>
        </w:rPr>
        <w:t>wearable </w:t>
      </w:r>
      <w:r>
        <w:rPr/>
        <w:t>bands to measure daily activity, and the production and delivery of food supplements and fortified foods for individuals or specific groups of the</w:t>
      </w:r>
      <w:r>
        <w:rPr>
          <w:spacing w:val="-17"/>
        </w:rPr>
        <w:t> </w:t>
      </w:r>
      <w:r>
        <w:rPr/>
        <w:t>population.</w:t>
      </w:r>
    </w:p>
    <w:p>
      <w:pPr>
        <w:pStyle w:val="BodyText"/>
        <w:rPr>
          <w:sz w:val="20"/>
        </w:rPr>
      </w:pPr>
    </w:p>
    <w:p>
      <w:pPr>
        <w:pStyle w:val="Heading2"/>
        <w:spacing w:before="126"/>
        <w:ind w:left="219"/>
        <w:jc w:val="both"/>
      </w:pPr>
      <w:r>
        <w:rPr>
          <w:color w:val="EC1651"/>
        </w:rPr>
        <w:t>Importance of Research</w:t>
      </w:r>
    </w:p>
    <w:p>
      <w:pPr>
        <w:pStyle w:val="BodyText"/>
        <w:spacing w:before="3"/>
        <w:rPr>
          <w:b/>
          <w:sz w:val="24"/>
        </w:rPr>
      </w:pPr>
    </w:p>
    <w:p>
      <w:pPr>
        <w:pStyle w:val="BodyText"/>
        <w:spacing w:line="247" w:lineRule="auto"/>
        <w:ind w:left="252" w:right="5574"/>
        <w:jc w:val="both"/>
      </w:pPr>
      <w:r>
        <w:rPr>
          <w:color w:val="221F1F"/>
        </w:rPr>
        <w:t>The</w:t>
      </w:r>
      <w:r>
        <w:rPr>
          <w:color w:val="221F1F"/>
          <w:spacing w:val="-16"/>
        </w:rPr>
        <w:t> </w:t>
      </w:r>
      <w:r>
        <w:rPr>
          <w:color w:val="221F1F"/>
        </w:rPr>
        <w:t>novelty</w:t>
      </w:r>
      <w:r>
        <w:rPr>
          <w:color w:val="221F1F"/>
          <w:spacing w:val="-10"/>
        </w:rPr>
        <w:t> </w:t>
      </w:r>
      <w:r>
        <w:rPr>
          <w:color w:val="221F1F"/>
        </w:rPr>
        <w:t>of</w:t>
      </w:r>
      <w:r>
        <w:rPr>
          <w:color w:val="221F1F"/>
          <w:spacing w:val="-13"/>
        </w:rPr>
        <w:t> </w:t>
      </w:r>
      <w:r>
        <w:rPr>
          <w:color w:val="221F1F"/>
        </w:rPr>
        <w:t>Stance4Health,</w:t>
      </w:r>
      <w:r>
        <w:rPr>
          <w:color w:val="221F1F"/>
          <w:spacing w:val="-16"/>
        </w:rPr>
        <w:t> </w:t>
      </w:r>
      <w:r>
        <w:rPr>
          <w:color w:val="221F1F"/>
        </w:rPr>
        <w:t>compared</w:t>
      </w:r>
      <w:r>
        <w:rPr>
          <w:color w:val="221F1F"/>
          <w:spacing w:val="-12"/>
        </w:rPr>
        <w:t> </w:t>
      </w:r>
      <w:r>
        <w:rPr>
          <w:color w:val="221F1F"/>
        </w:rPr>
        <w:t>with</w:t>
      </w:r>
      <w:r>
        <w:rPr>
          <w:color w:val="221F1F"/>
          <w:spacing w:val="-12"/>
        </w:rPr>
        <w:t> </w:t>
      </w:r>
      <w:r>
        <w:rPr>
          <w:color w:val="221F1F"/>
        </w:rPr>
        <w:t>the</w:t>
      </w:r>
      <w:r>
        <w:rPr>
          <w:color w:val="221F1F"/>
          <w:spacing w:val="-10"/>
        </w:rPr>
        <w:t> </w:t>
      </w:r>
      <w:r>
        <w:rPr>
          <w:color w:val="221F1F"/>
        </w:rPr>
        <w:t>current</w:t>
      </w:r>
      <w:r>
        <w:rPr>
          <w:color w:val="221F1F"/>
          <w:spacing w:val="-12"/>
        </w:rPr>
        <w:t> </w:t>
      </w:r>
      <w:r>
        <w:rPr>
          <w:color w:val="221F1F"/>
        </w:rPr>
        <w:t>state- of-the-art, is established on three pillars: i) a novel and comprehensive approach/concept to study the diet-gut microbiota interaction, taking into account cooking</w:t>
      </w:r>
      <w:r>
        <w:rPr>
          <w:color w:val="221F1F"/>
          <w:spacing w:val="5"/>
        </w:rPr>
        <w:t> </w:t>
      </w:r>
      <w:r>
        <w:rPr>
          <w:color w:val="221F1F"/>
        </w:rPr>
        <w:t>processes;</w:t>
      </w:r>
    </w:p>
    <w:p>
      <w:pPr>
        <w:pStyle w:val="BodyText"/>
        <w:spacing w:line="247" w:lineRule="auto"/>
        <w:ind w:left="252" w:right="5574"/>
        <w:jc w:val="both"/>
      </w:pPr>
      <w:r>
        <w:rPr>
          <w:color w:val="221F1F"/>
        </w:rPr>
        <w:t>ii) a revolutionary new nutritional software (i-Diet</w:t>
      </w:r>
      <w:r>
        <w:rPr/>
        <w:t> Stance4Health</w:t>
      </w:r>
      <w:r>
        <w:rPr>
          <w:color w:val="221F1F"/>
        </w:rPr>
        <w:t>) well beyond those existing in the market, integrating diet and gut microbiota metabolic networks to deliver proper counselling about food choice in the shop, cooking and integration within a long-lasting </w:t>
      </w:r>
      <w:r>
        <w:rPr>
          <w:color w:val="221F1F"/>
          <w:spacing w:val="-3"/>
        </w:rPr>
        <w:t>healthy, </w:t>
      </w:r>
      <w:r>
        <w:rPr>
          <w:color w:val="221F1F"/>
        </w:rPr>
        <w:t>pleasurable and sustainable diet; iii) a new complete smart personalised</w:t>
      </w:r>
      <w:r>
        <w:rPr>
          <w:color w:val="221F1F"/>
          <w:spacing w:val="-12"/>
        </w:rPr>
        <w:t> </w:t>
      </w:r>
      <w:r>
        <w:rPr>
          <w:color w:val="221F1F"/>
        </w:rPr>
        <w:t>nutrition</w:t>
      </w:r>
      <w:r>
        <w:rPr>
          <w:color w:val="221F1F"/>
          <w:spacing w:val="-9"/>
        </w:rPr>
        <w:t> </w:t>
      </w:r>
      <w:r>
        <w:rPr>
          <w:color w:val="221F1F"/>
        </w:rPr>
        <w:t>service</w:t>
      </w:r>
      <w:r>
        <w:rPr>
          <w:color w:val="221F1F"/>
          <w:spacing w:val="-9"/>
        </w:rPr>
        <w:t> </w:t>
      </w:r>
      <w:r>
        <w:rPr>
          <w:color w:val="221F1F"/>
        </w:rPr>
        <w:t>based</w:t>
      </w:r>
      <w:r>
        <w:rPr>
          <w:color w:val="221F1F"/>
          <w:spacing w:val="-11"/>
        </w:rPr>
        <w:t> </w:t>
      </w:r>
      <w:r>
        <w:rPr>
          <w:color w:val="221F1F"/>
        </w:rPr>
        <w:t>on</w:t>
      </w:r>
      <w:r>
        <w:rPr>
          <w:color w:val="221F1F"/>
          <w:spacing w:val="-9"/>
        </w:rPr>
        <w:t> </w:t>
      </w:r>
      <w:r>
        <w:rPr>
          <w:color w:val="221F1F"/>
        </w:rPr>
        <w:t>a</w:t>
      </w:r>
      <w:r>
        <w:rPr>
          <w:color w:val="221F1F"/>
          <w:spacing w:val="-10"/>
        </w:rPr>
        <w:t> </w:t>
      </w:r>
      <w:r>
        <w:rPr>
          <w:color w:val="221F1F"/>
        </w:rPr>
        <w:t>mobile</w:t>
      </w:r>
      <w:r>
        <w:rPr>
          <w:color w:val="221F1F"/>
          <w:spacing w:val="-9"/>
        </w:rPr>
        <w:t> </w:t>
      </w:r>
      <w:r>
        <w:rPr>
          <w:color w:val="221F1F"/>
        </w:rPr>
        <w:t>app</w:t>
      </w:r>
      <w:r>
        <w:rPr>
          <w:color w:val="221F1F"/>
          <w:spacing w:val="-11"/>
        </w:rPr>
        <w:t> </w:t>
      </w:r>
      <w:r>
        <w:rPr>
          <w:color w:val="221F1F"/>
        </w:rPr>
        <w:t>interacting with a wearable to follow changes in body composition, </w:t>
      </w:r>
      <w:r>
        <w:rPr>
          <w:color w:val="221F1F"/>
          <w:spacing w:val="-3"/>
        </w:rPr>
        <w:t>an </w:t>
      </w:r>
      <w:r>
        <w:rPr>
          <w:color w:val="221F1F"/>
        </w:rPr>
        <w:t>in vitro</w:t>
      </w:r>
      <w:r>
        <w:rPr>
          <w:color w:val="221F1F"/>
          <w:spacing w:val="-11"/>
        </w:rPr>
        <w:t> </w:t>
      </w:r>
      <w:r>
        <w:rPr>
          <w:color w:val="221F1F"/>
        </w:rPr>
        <w:t>diagnostic</w:t>
      </w:r>
      <w:r>
        <w:rPr>
          <w:color w:val="221F1F"/>
          <w:spacing w:val="-7"/>
        </w:rPr>
        <w:t> </w:t>
      </w:r>
      <w:r>
        <w:rPr>
          <w:color w:val="221F1F"/>
        </w:rPr>
        <w:t>tool</w:t>
      </w:r>
      <w:r>
        <w:rPr>
          <w:color w:val="221F1F"/>
          <w:spacing w:val="-10"/>
        </w:rPr>
        <w:t> </w:t>
      </w:r>
      <w:r>
        <w:rPr>
          <w:color w:val="221F1F"/>
        </w:rPr>
        <w:t>to</w:t>
      </w:r>
      <w:r>
        <w:rPr>
          <w:color w:val="221F1F"/>
          <w:spacing w:val="-10"/>
        </w:rPr>
        <w:t> </w:t>
      </w:r>
      <w:r>
        <w:rPr>
          <w:color w:val="221F1F"/>
        </w:rPr>
        <w:t>follow</w:t>
      </w:r>
      <w:r>
        <w:rPr>
          <w:color w:val="221F1F"/>
          <w:spacing w:val="-9"/>
        </w:rPr>
        <w:t> </w:t>
      </w:r>
      <w:r>
        <w:rPr>
          <w:color w:val="221F1F"/>
        </w:rPr>
        <w:t>changes</w:t>
      </w:r>
      <w:r>
        <w:rPr>
          <w:color w:val="221F1F"/>
          <w:spacing w:val="-11"/>
        </w:rPr>
        <w:t> </w:t>
      </w:r>
      <w:r>
        <w:rPr>
          <w:color w:val="221F1F"/>
        </w:rPr>
        <w:t>in</w:t>
      </w:r>
      <w:r>
        <w:rPr>
          <w:color w:val="221F1F"/>
          <w:spacing w:val="-7"/>
        </w:rPr>
        <w:t> </w:t>
      </w:r>
      <w:r>
        <w:rPr>
          <w:color w:val="221F1F"/>
        </w:rPr>
        <w:t>gut</w:t>
      </w:r>
      <w:r>
        <w:rPr>
          <w:color w:val="221F1F"/>
          <w:spacing w:val="-13"/>
        </w:rPr>
        <w:t> </w:t>
      </w:r>
      <w:r>
        <w:rPr>
          <w:color w:val="221F1F"/>
        </w:rPr>
        <w:t>microbiota</w:t>
      </w:r>
      <w:r>
        <w:rPr>
          <w:color w:val="221F1F"/>
          <w:spacing w:val="-8"/>
        </w:rPr>
        <w:t> </w:t>
      </w:r>
      <w:r>
        <w:rPr>
          <w:color w:val="221F1F"/>
        </w:rPr>
        <w:t>activity and the customised production of cereal-derived products for targeted groups such as overweight people and children with gluten-related disorders or allergy/intolerance to cow’s</w:t>
      </w:r>
      <w:r>
        <w:rPr>
          <w:color w:val="221F1F"/>
          <w:spacing w:val="-19"/>
        </w:rPr>
        <w:t> </w:t>
      </w:r>
      <w:r>
        <w:rPr>
          <w:color w:val="221F1F"/>
        </w:rPr>
        <w:t>milk.</w:t>
      </w:r>
    </w:p>
    <w:p>
      <w:pPr>
        <w:spacing w:after="0" w:line="247" w:lineRule="auto"/>
        <w:jc w:val="both"/>
        <w:sectPr>
          <w:pgSz w:w="11910" w:h="16840"/>
          <w:pgMar w:header="28" w:footer="308" w:top="2040" w:bottom="500" w:left="520" w:right="420"/>
        </w:sectPr>
      </w:pPr>
    </w:p>
    <w:p>
      <w:pPr>
        <w:pStyle w:val="BodyText"/>
        <w:rPr>
          <w:sz w:val="20"/>
        </w:rPr>
      </w:pPr>
    </w:p>
    <w:p>
      <w:pPr>
        <w:pStyle w:val="BodyText"/>
        <w:rPr>
          <w:sz w:val="20"/>
        </w:rPr>
      </w:pPr>
    </w:p>
    <w:p>
      <w:pPr>
        <w:pStyle w:val="BodyText"/>
        <w:spacing w:before="2"/>
      </w:pPr>
    </w:p>
    <w:p>
      <w:pPr>
        <w:pStyle w:val="Heading2"/>
        <w:spacing w:line="278" w:lineRule="exact" w:before="100"/>
        <w:jc w:val="both"/>
      </w:pPr>
      <w:r>
        <w:rPr/>
        <w:drawing>
          <wp:anchor distT="0" distB="0" distL="0" distR="0" allowOverlap="1" layoutInCell="1" locked="0" behindDoc="0" simplePos="0" relativeHeight="15730176">
            <wp:simplePos x="0" y="0"/>
            <wp:positionH relativeFrom="page">
              <wp:posOffset>4460760</wp:posOffset>
            </wp:positionH>
            <wp:positionV relativeFrom="paragraph">
              <wp:posOffset>64104</wp:posOffset>
            </wp:positionV>
            <wp:extent cx="2422525" cy="2422525"/>
            <wp:effectExtent l="0" t="0" r="0" b="0"/>
            <wp:wrapNone/>
            <wp:docPr id="3" name="image3.jpeg"/>
            <wp:cNvGraphicFramePr>
              <a:graphicFrameLocks noChangeAspect="1"/>
            </wp:cNvGraphicFramePr>
            <a:graphic>
              <a:graphicData uri="http://schemas.openxmlformats.org/drawingml/2006/picture">
                <pic:pic>
                  <pic:nvPicPr>
                    <pic:cNvPr id="4" name="image3.jpeg"/>
                    <pic:cNvPicPr/>
                  </pic:nvPicPr>
                  <pic:blipFill>
                    <a:blip r:embed="rId9" cstate="print"/>
                    <a:stretch>
                      <a:fillRect/>
                    </a:stretch>
                  </pic:blipFill>
                  <pic:spPr>
                    <a:xfrm>
                      <a:off x="0" y="0"/>
                      <a:ext cx="2422525" cy="2422525"/>
                    </a:xfrm>
                    <a:prstGeom prst="rect">
                      <a:avLst/>
                    </a:prstGeom>
                  </pic:spPr>
                </pic:pic>
              </a:graphicData>
            </a:graphic>
          </wp:anchor>
        </w:drawing>
      </w:r>
      <w:r>
        <w:rPr>
          <w:color w:val="EC1651"/>
        </w:rPr>
        <w:t>About Hospital</w:t>
      </w:r>
    </w:p>
    <w:p>
      <w:pPr>
        <w:spacing w:line="237" w:lineRule="auto" w:before="1"/>
        <w:ind w:left="108" w:right="4613" w:firstLine="0"/>
        <w:jc w:val="both"/>
        <w:rPr>
          <w:rFonts w:ascii="Arial"/>
          <w:sz w:val="20"/>
        </w:rPr>
      </w:pPr>
      <w:r>
        <w:rPr>
          <w:rFonts w:ascii="Arial"/>
          <w:sz w:val="20"/>
        </w:rPr>
        <w:t>The</w:t>
      </w:r>
      <w:r>
        <w:rPr>
          <w:rFonts w:ascii="Arial"/>
          <w:spacing w:val="-8"/>
          <w:sz w:val="20"/>
        </w:rPr>
        <w:t> </w:t>
      </w:r>
      <w:r>
        <w:rPr>
          <w:rFonts w:ascii="Arial"/>
          <w:sz w:val="20"/>
        </w:rPr>
        <w:t>Institute</w:t>
      </w:r>
      <w:r>
        <w:rPr>
          <w:rFonts w:ascii="Arial"/>
          <w:spacing w:val="-7"/>
          <w:sz w:val="20"/>
        </w:rPr>
        <w:t> </w:t>
      </w:r>
      <w:r>
        <w:rPr>
          <w:rFonts w:ascii="Arial"/>
          <w:sz w:val="20"/>
        </w:rPr>
        <w:t>is</w:t>
      </w:r>
      <w:r>
        <w:rPr>
          <w:rFonts w:ascii="Arial"/>
          <w:spacing w:val="-5"/>
          <w:sz w:val="20"/>
        </w:rPr>
        <w:t> </w:t>
      </w:r>
      <w:r>
        <w:rPr>
          <w:rFonts w:ascii="Arial"/>
          <w:sz w:val="20"/>
        </w:rPr>
        <w:t>hosted</w:t>
      </w:r>
      <w:r>
        <w:rPr>
          <w:rFonts w:ascii="Arial"/>
          <w:spacing w:val="-7"/>
          <w:sz w:val="20"/>
        </w:rPr>
        <w:t> </w:t>
      </w:r>
      <w:r>
        <w:rPr>
          <w:rFonts w:ascii="Arial"/>
          <w:sz w:val="20"/>
        </w:rPr>
        <w:t>in</w:t>
      </w:r>
      <w:r>
        <w:rPr>
          <w:rFonts w:ascii="Arial"/>
          <w:spacing w:val="-7"/>
          <w:sz w:val="20"/>
        </w:rPr>
        <w:t> </w:t>
      </w:r>
      <w:r>
        <w:rPr>
          <w:rFonts w:ascii="Arial"/>
          <w:sz w:val="20"/>
        </w:rPr>
        <w:t>a</w:t>
      </w:r>
      <w:r>
        <w:rPr>
          <w:rFonts w:ascii="Arial"/>
          <w:spacing w:val="-7"/>
          <w:sz w:val="20"/>
        </w:rPr>
        <w:t> </w:t>
      </w:r>
      <w:r>
        <w:rPr>
          <w:rFonts w:ascii="Arial"/>
          <w:sz w:val="20"/>
        </w:rPr>
        <w:t>modern</w:t>
      </w:r>
      <w:r>
        <w:rPr>
          <w:rFonts w:ascii="Arial"/>
          <w:spacing w:val="-7"/>
          <w:sz w:val="20"/>
        </w:rPr>
        <w:t> </w:t>
      </w:r>
      <w:r>
        <w:rPr>
          <w:rFonts w:ascii="Arial"/>
          <w:sz w:val="20"/>
        </w:rPr>
        <w:t>eight</w:t>
      </w:r>
      <w:r>
        <w:rPr>
          <w:rFonts w:ascii="Arial"/>
          <w:spacing w:val="-8"/>
          <w:sz w:val="20"/>
        </w:rPr>
        <w:t> </w:t>
      </w:r>
      <w:r>
        <w:rPr>
          <w:rFonts w:ascii="Arial"/>
          <w:sz w:val="20"/>
        </w:rPr>
        <w:t>floors</w:t>
      </w:r>
      <w:r>
        <w:rPr>
          <w:rFonts w:ascii="Arial"/>
          <w:spacing w:val="-6"/>
          <w:sz w:val="20"/>
        </w:rPr>
        <w:t> </w:t>
      </w:r>
      <w:r>
        <w:rPr>
          <w:rFonts w:ascii="Arial"/>
          <w:sz w:val="20"/>
        </w:rPr>
        <w:t>building</w:t>
      </w:r>
      <w:r>
        <w:rPr>
          <w:rFonts w:ascii="Arial"/>
          <w:spacing w:val="-2"/>
          <w:sz w:val="20"/>
        </w:rPr>
        <w:t> </w:t>
      </w:r>
      <w:r>
        <w:rPr>
          <w:rFonts w:ascii="Arial"/>
          <w:sz w:val="20"/>
        </w:rPr>
        <w:t>of</w:t>
      </w:r>
      <w:r>
        <w:rPr>
          <w:rFonts w:ascii="Arial"/>
          <w:spacing w:val="-4"/>
          <w:sz w:val="20"/>
        </w:rPr>
        <w:t> </w:t>
      </w:r>
      <w:r>
        <w:rPr>
          <w:rFonts w:ascii="Arial"/>
          <w:sz w:val="20"/>
        </w:rPr>
        <w:t>about</w:t>
      </w:r>
      <w:r>
        <w:rPr>
          <w:rFonts w:ascii="Arial"/>
          <w:spacing w:val="-4"/>
          <w:sz w:val="20"/>
        </w:rPr>
        <w:t> </w:t>
      </w:r>
      <w:r>
        <w:rPr>
          <w:rFonts w:ascii="Arial"/>
          <w:sz w:val="20"/>
        </w:rPr>
        <w:t>10,000 square meters. Common technological facilities, a well-equipped animal facility house and a parking area are located in the building basement</w:t>
      </w:r>
      <w:r>
        <w:rPr>
          <w:rFonts w:ascii="Arial"/>
          <w:spacing w:val="2"/>
          <w:sz w:val="20"/>
        </w:rPr>
        <w:t> </w:t>
      </w:r>
      <w:r>
        <w:rPr>
          <w:rFonts w:ascii="Arial"/>
          <w:sz w:val="20"/>
        </w:rPr>
        <w:t>levels.</w:t>
      </w:r>
    </w:p>
    <w:p>
      <w:pPr>
        <w:pStyle w:val="BodyText"/>
        <w:spacing w:before="9"/>
        <w:rPr>
          <w:rFonts w:ascii="Arial"/>
          <w:sz w:val="11"/>
        </w:rPr>
      </w:pPr>
    </w:p>
    <w:p>
      <w:pPr>
        <w:spacing w:line="244" w:lineRule="auto" w:before="95"/>
        <w:ind w:left="108" w:right="4613" w:firstLine="0"/>
        <w:jc w:val="both"/>
        <w:rPr>
          <w:rFonts w:ascii="Arial" w:hAnsi="Arial"/>
          <w:sz w:val="20"/>
        </w:rPr>
      </w:pPr>
      <w:r>
        <w:rPr>
          <w:rFonts w:ascii="Arial" w:hAnsi="Arial"/>
          <w:sz w:val="20"/>
        </w:rPr>
        <w:t>The Institute holds a unique position within the National Research Council. In fact, it was established in 1994 to meet the need for a research center in which physicians, biochemists, food technologists and</w:t>
      </w:r>
      <w:r>
        <w:rPr>
          <w:rFonts w:ascii="Arial" w:hAnsi="Arial"/>
          <w:spacing w:val="-7"/>
          <w:sz w:val="20"/>
        </w:rPr>
        <w:t> </w:t>
      </w:r>
      <w:r>
        <w:rPr>
          <w:rFonts w:ascii="Arial" w:hAnsi="Arial"/>
          <w:sz w:val="20"/>
        </w:rPr>
        <w:t>other</w:t>
      </w:r>
      <w:r>
        <w:rPr>
          <w:rFonts w:ascii="Arial" w:hAnsi="Arial"/>
          <w:spacing w:val="-4"/>
          <w:sz w:val="20"/>
        </w:rPr>
        <w:t> </w:t>
      </w:r>
      <w:r>
        <w:rPr>
          <w:rFonts w:ascii="Arial" w:hAnsi="Arial"/>
          <w:sz w:val="20"/>
        </w:rPr>
        <w:t>different</w:t>
      </w:r>
      <w:r>
        <w:rPr>
          <w:rFonts w:ascii="Arial" w:hAnsi="Arial"/>
          <w:spacing w:val="-4"/>
          <w:sz w:val="20"/>
        </w:rPr>
        <w:t> </w:t>
      </w:r>
      <w:r>
        <w:rPr>
          <w:rFonts w:ascii="Arial" w:hAnsi="Arial"/>
          <w:sz w:val="20"/>
        </w:rPr>
        <w:t>trained</w:t>
      </w:r>
      <w:r>
        <w:rPr>
          <w:rFonts w:ascii="Arial" w:hAnsi="Arial"/>
          <w:spacing w:val="-6"/>
          <w:sz w:val="20"/>
        </w:rPr>
        <w:t> </w:t>
      </w:r>
      <w:r>
        <w:rPr>
          <w:rFonts w:ascii="Arial" w:hAnsi="Arial"/>
          <w:sz w:val="20"/>
        </w:rPr>
        <w:t>scientists</w:t>
      </w:r>
      <w:r>
        <w:rPr>
          <w:rFonts w:ascii="Arial" w:hAnsi="Arial"/>
          <w:spacing w:val="-4"/>
          <w:sz w:val="20"/>
        </w:rPr>
        <w:t> </w:t>
      </w:r>
      <w:r>
        <w:rPr>
          <w:rFonts w:ascii="Arial" w:hAnsi="Arial"/>
          <w:sz w:val="20"/>
        </w:rPr>
        <w:t>could</w:t>
      </w:r>
      <w:r>
        <w:rPr>
          <w:rFonts w:ascii="Arial" w:hAnsi="Arial"/>
          <w:spacing w:val="-6"/>
          <w:sz w:val="20"/>
        </w:rPr>
        <w:t> </w:t>
      </w:r>
      <w:r>
        <w:rPr>
          <w:rFonts w:ascii="Arial" w:hAnsi="Arial"/>
          <w:sz w:val="20"/>
        </w:rPr>
        <w:t>synergistically</w:t>
      </w:r>
      <w:r>
        <w:rPr>
          <w:rFonts w:ascii="Arial" w:hAnsi="Arial"/>
          <w:spacing w:val="-5"/>
          <w:sz w:val="20"/>
        </w:rPr>
        <w:t> </w:t>
      </w:r>
      <w:r>
        <w:rPr>
          <w:rFonts w:ascii="Arial" w:hAnsi="Arial"/>
          <w:sz w:val="20"/>
        </w:rPr>
        <w:t>collaborate</w:t>
      </w:r>
      <w:r>
        <w:rPr>
          <w:rFonts w:ascii="Arial" w:hAnsi="Arial"/>
          <w:spacing w:val="-6"/>
          <w:sz w:val="20"/>
        </w:rPr>
        <w:t> </w:t>
      </w:r>
      <w:r>
        <w:rPr>
          <w:rFonts w:ascii="Arial" w:hAnsi="Arial"/>
          <w:sz w:val="20"/>
        </w:rPr>
        <w:t>to understand</w:t>
      </w:r>
      <w:r>
        <w:rPr>
          <w:rFonts w:ascii="Arial" w:hAnsi="Arial"/>
          <w:spacing w:val="-8"/>
          <w:sz w:val="20"/>
        </w:rPr>
        <w:t> </w:t>
      </w:r>
      <w:r>
        <w:rPr>
          <w:rFonts w:ascii="Arial" w:hAnsi="Arial"/>
          <w:sz w:val="20"/>
        </w:rPr>
        <w:t>how</w:t>
      </w:r>
      <w:r>
        <w:rPr>
          <w:rFonts w:ascii="Arial" w:hAnsi="Arial"/>
          <w:spacing w:val="-8"/>
          <w:sz w:val="20"/>
        </w:rPr>
        <w:t> </w:t>
      </w:r>
      <w:r>
        <w:rPr>
          <w:rFonts w:ascii="Arial" w:hAnsi="Arial"/>
          <w:sz w:val="20"/>
        </w:rPr>
        <w:t>to</w:t>
      </w:r>
      <w:r>
        <w:rPr>
          <w:rFonts w:ascii="Arial" w:hAnsi="Arial"/>
          <w:spacing w:val="-12"/>
          <w:sz w:val="20"/>
        </w:rPr>
        <w:t> </w:t>
      </w:r>
      <w:r>
        <w:rPr>
          <w:rFonts w:ascii="Arial" w:hAnsi="Arial"/>
          <w:sz w:val="20"/>
        </w:rPr>
        <w:t>improve</w:t>
      </w:r>
      <w:r>
        <w:rPr>
          <w:rFonts w:ascii="Arial" w:hAnsi="Arial"/>
          <w:spacing w:val="-12"/>
          <w:sz w:val="20"/>
        </w:rPr>
        <w:t> </w:t>
      </w:r>
      <w:r>
        <w:rPr>
          <w:rFonts w:ascii="Arial" w:hAnsi="Arial"/>
          <w:sz w:val="20"/>
        </w:rPr>
        <w:t>human</w:t>
      </w:r>
      <w:r>
        <w:rPr>
          <w:rFonts w:ascii="Arial" w:hAnsi="Arial"/>
          <w:spacing w:val="-8"/>
          <w:sz w:val="20"/>
        </w:rPr>
        <w:t> </w:t>
      </w:r>
      <w:r>
        <w:rPr>
          <w:rFonts w:ascii="Arial" w:hAnsi="Arial"/>
          <w:sz w:val="20"/>
        </w:rPr>
        <w:t>health</w:t>
      </w:r>
      <w:r>
        <w:rPr>
          <w:rFonts w:ascii="Arial" w:hAnsi="Arial"/>
          <w:spacing w:val="-12"/>
          <w:sz w:val="20"/>
        </w:rPr>
        <w:t> </w:t>
      </w:r>
      <w:r>
        <w:rPr>
          <w:rFonts w:ascii="Arial" w:hAnsi="Arial"/>
          <w:sz w:val="20"/>
        </w:rPr>
        <w:t>through</w:t>
      </w:r>
      <w:r>
        <w:rPr>
          <w:rFonts w:ascii="Arial" w:hAnsi="Arial"/>
          <w:spacing w:val="-8"/>
          <w:sz w:val="20"/>
        </w:rPr>
        <w:t> </w:t>
      </w:r>
      <w:r>
        <w:rPr>
          <w:rFonts w:ascii="Arial" w:hAnsi="Arial"/>
          <w:sz w:val="20"/>
        </w:rPr>
        <w:t>innovative</w:t>
      </w:r>
      <w:r>
        <w:rPr>
          <w:rFonts w:ascii="Arial" w:hAnsi="Arial"/>
          <w:spacing w:val="-7"/>
          <w:sz w:val="20"/>
        </w:rPr>
        <w:t> </w:t>
      </w:r>
      <w:r>
        <w:rPr>
          <w:rFonts w:ascii="Arial" w:hAnsi="Arial"/>
          <w:sz w:val="20"/>
        </w:rPr>
        <w:t>nutritional approaches. The research activities of CNR-ISA are focused on the study of food quality and safety, as well as the relationship between food composition and health. They are described in details under the “Research activities” page. In addition, technology transfer is a particularly relevant activity in the mission of CNR-ISA. Many research activities</w:t>
      </w:r>
      <w:r>
        <w:rPr>
          <w:rFonts w:ascii="Arial" w:hAnsi="Arial"/>
          <w:spacing w:val="-9"/>
          <w:sz w:val="20"/>
        </w:rPr>
        <w:t> </w:t>
      </w:r>
      <w:r>
        <w:rPr>
          <w:rFonts w:ascii="Arial" w:hAnsi="Arial"/>
          <w:sz w:val="20"/>
        </w:rPr>
        <w:t>of</w:t>
      </w:r>
      <w:r>
        <w:rPr>
          <w:rFonts w:ascii="Arial" w:hAnsi="Arial"/>
          <w:spacing w:val="-7"/>
          <w:sz w:val="20"/>
        </w:rPr>
        <w:t> </w:t>
      </w:r>
      <w:r>
        <w:rPr>
          <w:rFonts w:ascii="Arial" w:hAnsi="Arial"/>
          <w:sz w:val="20"/>
        </w:rPr>
        <w:t>the</w:t>
      </w:r>
      <w:r>
        <w:rPr>
          <w:rFonts w:ascii="Arial" w:hAnsi="Arial"/>
          <w:spacing w:val="-10"/>
          <w:sz w:val="20"/>
        </w:rPr>
        <w:t> </w:t>
      </w:r>
      <w:r>
        <w:rPr>
          <w:rFonts w:ascii="Arial" w:hAnsi="Arial"/>
          <w:sz w:val="20"/>
        </w:rPr>
        <w:t>Institute</w:t>
      </w:r>
      <w:r>
        <w:rPr>
          <w:rFonts w:ascii="Arial" w:hAnsi="Arial"/>
          <w:spacing w:val="-11"/>
          <w:sz w:val="20"/>
        </w:rPr>
        <w:t> </w:t>
      </w:r>
      <w:r>
        <w:rPr>
          <w:rFonts w:ascii="Arial" w:hAnsi="Arial"/>
          <w:sz w:val="20"/>
        </w:rPr>
        <w:t>are</w:t>
      </w:r>
      <w:r>
        <w:rPr>
          <w:rFonts w:ascii="Arial" w:hAnsi="Arial"/>
          <w:spacing w:val="-10"/>
          <w:sz w:val="20"/>
        </w:rPr>
        <w:t> </w:t>
      </w:r>
      <w:r>
        <w:rPr>
          <w:rFonts w:ascii="Arial" w:hAnsi="Arial"/>
          <w:sz w:val="20"/>
        </w:rPr>
        <w:t>well</w:t>
      </w:r>
      <w:r>
        <w:rPr>
          <w:rFonts w:ascii="Arial" w:hAnsi="Arial"/>
          <w:spacing w:val="-11"/>
          <w:sz w:val="20"/>
        </w:rPr>
        <w:t> </w:t>
      </w:r>
      <w:r>
        <w:rPr>
          <w:rFonts w:ascii="Arial" w:hAnsi="Arial"/>
          <w:sz w:val="20"/>
        </w:rPr>
        <w:t>integrated</w:t>
      </w:r>
      <w:r>
        <w:rPr>
          <w:rFonts w:ascii="Arial" w:hAnsi="Arial"/>
          <w:spacing w:val="-10"/>
          <w:sz w:val="20"/>
        </w:rPr>
        <w:t> </w:t>
      </w:r>
      <w:r>
        <w:rPr>
          <w:rFonts w:ascii="Arial" w:hAnsi="Arial"/>
          <w:sz w:val="20"/>
        </w:rPr>
        <w:t>with</w:t>
      </w:r>
      <w:r>
        <w:rPr>
          <w:rFonts w:ascii="Arial" w:hAnsi="Arial"/>
          <w:spacing w:val="-11"/>
          <w:sz w:val="20"/>
        </w:rPr>
        <w:t> </w:t>
      </w:r>
      <w:r>
        <w:rPr>
          <w:rFonts w:ascii="Arial" w:hAnsi="Arial"/>
          <w:sz w:val="20"/>
        </w:rPr>
        <w:t>the</w:t>
      </w:r>
      <w:r>
        <w:rPr>
          <w:rFonts w:ascii="Arial" w:hAnsi="Arial"/>
          <w:spacing w:val="-10"/>
          <w:sz w:val="20"/>
        </w:rPr>
        <w:t> </w:t>
      </w:r>
      <w:r>
        <w:rPr>
          <w:rFonts w:ascii="Arial" w:hAnsi="Arial"/>
          <w:sz w:val="20"/>
        </w:rPr>
        <w:t>productive</w:t>
      </w:r>
      <w:r>
        <w:rPr>
          <w:rFonts w:ascii="Arial" w:hAnsi="Arial"/>
          <w:spacing w:val="-11"/>
          <w:sz w:val="20"/>
        </w:rPr>
        <w:t> </w:t>
      </w:r>
      <w:r>
        <w:rPr>
          <w:rFonts w:ascii="Arial" w:hAnsi="Arial"/>
          <w:sz w:val="20"/>
        </w:rPr>
        <w:t>activities</w:t>
      </w:r>
    </w:p>
    <w:p>
      <w:pPr>
        <w:spacing w:line="247" w:lineRule="auto" w:before="6"/>
        <w:ind w:left="108" w:right="645" w:firstLine="0"/>
        <w:jc w:val="both"/>
        <w:rPr>
          <w:rFonts w:ascii="Arial"/>
          <w:sz w:val="20"/>
        </w:rPr>
      </w:pPr>
      <w:r>
        <w:rPr>
          <w:rFonts w:ascii="Arial"/>
          <w:sz w:val="20"/>
        </w:rPr>
        <w:t>of local and national SMEs operating in the agro-food sector. In this respect, relevant scientific achievements have been reached by the ISA scientists as testified by the number of national and international patents and/or industrial collaborations.</w:t>
      </w:r>
      <w:r>
        <w:rPr>
          <w:rFonts w:ascii="Arial"/>
          <w:spacing w:val="-10"/>
          <w:sz w:val="20"/>
        </w:rPr>
        <w:t> </w:t>
      </w:r>
      <w:r>
        <w:rPr>
          <w:rFonts w:ascii="Arial"/>
          <w:sz w:val="20"/>
        </w:rPr>
        <w:t>For</w:t>
      </w:r>
      <w:r>
        <w:rPr>
          <w:rFonts w:ascii="Arial"/>
          <w:spacing w:val="-10"/>
          <w:sz w:val="20"/>
        </w:rPr>
        <w:t> </w:t>
      </w:r>
      <w:r>
        <w:rPr>
          <w:rFonts w:ascii="Arial"/>
          <w:sz w:val="20"/>
        </w:rPr>
        <w:t>instance,</w:t>
      </w:r>
      <w:r>
        <w:rPr>
          <w:rFonts w:ascii="Arial"/>
          <w:spacing w:val="-8"/>
          <w:sz w:val="20"/>
        </w:rPr>
        <w:t> </w:t>
      </w:r>
      <w:r>
        <w:rPr>
          <w:rFonts w:ascii="Arial"/>
          <w:sz w:val="20"/>
        </w:rPr>
        <w:t>novel</w:t>
      </w:r>
      <w:r>
        <w:rPr>
          <w:rFonts w:ascii="Arial"/>
          <w:spacing w:val="-12"/>
          <w:sz w:val="20"/>
        </w:rPr>
        <w:t> </w:t>
      </w:r>
      <w:r>
        <w:rPr>
          <w:rFonts w:ascii="Arial"/>
          <w:sz w:val="20"/>
        </w:rPr>
        <w:t>food</w:t>
      </w:r>
      <w:r>
        <w:rPr>
          <w:rFonts w:ascii="Arial"/>
          <w:spacing w:val="-12"/>
          <w:sz w:val="20"/>
        </w:rPr>
        <w:t> </w:t>
      </w:r>
      <w:r>
        <w:rPr>
          <w:rFonts w:ascii="Arial"/>
          <w:sz w:val="20"/>
        </w:rPr>
        <w:t>for</w:t>
      </w:r>
      <w:r>
        <w:rPr>
          <w:rFonts w:ascii="Arial"/>
          <w:spacing w:val="-15"/>
          <w:sz w:val="20"/>
        </w:rPr>
        <w:t> </w:t>
      </w:r>
      <w:r>
        <w:rPr>
          <w:rFonts w:ascii="Arial"/>
          <w:sz w:val="20"/>
        </w:rPr>
        <w:t>celiac</w:t>
      </w:r>
      <w:r>
        <w:rPr>
          <w:rFonts w:ascii="Arial"/>
          <w:spacing w:val="-10"/>
          <w:sz w:val="20"/>
        </w:rPr>
        <w:t> </w:t>
      </w:r>
      <w:r>
        <w:rPr>
          <w:rFonts w:ascii="Arial"/>
          <w:sz w:val="20"/>
        </w:rPr>
        <w:t>patients</w:t>
      </w:r>
      <w:r>
        <w:rPr>
          <w:rFonts w:ascii="Arial"/>
          <w:spacing w:val="-11"/>
          <w:sz w:val="20"/>
        </w:rPr>
        <w:t> </w:t>
      </w:r>
      <w:r>
        <w:rPr>
          <w:rFonts w:ascii="Arial"/>
          <w:sz w:val="20"/>
        </w:rPr>
        <w:t>produced</w:t>
      </w:r>
      <w:r>
        <w:rPr>
          <w:rFonts w:ascii="Arial"/>
          <w:spacing w:val="-12"/>
          <w:sz w:val="20"/>
        </w:rPr>
        <w:t> </w:t>
      </w:r>
      <w:r>
        <w:rPr>
          <w:rFonts w:ascii="Arial"/>
          <w:sz w:val="20"/>
        </w:rPr>
        <w:t>by</w:t>
      </w:r>
      <w:r>
        <w:rPr>
          <w:rFonts w:ascii="Arial"/>
          <w:spacing w:val="-10"/>
          <w:sz w:val="20"/>
        </w:rPr>
        <w:t> </w:t>
      </w:r>
      <w:r>
        <w:rPr>
          <w:rFonts w:ascii="Arial"/>
          <w:sz w:val="20"/>
        </w:rPr>
        <w:t>an</w:t>
      </w:r>
      <w:r>
        <w:rPr>
          <w:rFonts w:ascii="Arial"/>
          <w:spacing w:val="-12"/>
          <w:sz w:val="20"/>
        </w:rPr>
        <w:t> </w:t>
      </w:r>
      <w:r>
        <w:rPr>
          <w:rFonts w:ascii="Arial"/>
          <w:sz w:val="20"/>
        </w:rPr>
        <w:t>enzymatic</w:t>
      </w:r>
      <w:r>
        <w:rPr>
          <w:rFonts w:ascii="Arial"/>
          <w:spacing w:val="-10"/>
          <w:sz w:val="20"/>
        </w:rPr>
        <w:t> </w:t>
      </w:r>
      <w:r>
        <w:rPr>
          <w:rFonts w:ascii="Arial"/>
          <w:sz w:val="20"/>
        </w:rPr>
        <w:t>detoxification</w:t>
      </w:r>
      <w:r>
        <w:rPr>
          <w:rFonts w:ascii="Arial"/>
          <w:spacing w:val="-12"/>
          <w:sz w:val="20"/>
        </w:rPr>
        <w:t> </w:t>
      </w:r>
      <w:r>
        <w:rPr>
          <w:rFonts w:ascii="Arial"/>
          <w:sz w:val="20"/>
        </w:rPr>
        <w:t>process</w:t>
      </w:r>
      <w:r>
        <w:rPr>
          <w:rFonts w:ascii="Arial"/>
          <w:spacing w:val="-10"/>
          <w:sz w:val="20"/>
        </w:rPr>
        <w:t> </w:t>
      </w:r>
      <w:r>
        <w:rPr>
          <w:rFonts w:ascii="Arial"/>
          <w:sz w:val="20"/>
        </w:rPr>
        <w:t>has</w:t>
      </w:r>
      <w:r>
        <w:rPr>
          <w:rFonts w:ascii="Arial"/>
          <w:spacing w:val="-15"/>
          <w:sz w:val="20"/>
        </w:rPr>
        <w:t> </w:t>
      </w:r>
      <w:r>
        <w:rPr>
          <w:rFonts w:ascii="Arial"/>
          <w:sz w:val="20"/>
        </w:rPr>
        <w:t>been developed by ISA-CNR scientists. Similarly, an international patent focused on the rapid mycotoxins and antibiotics detection in milk and dairy products has been filled in collaboration with a national leader industry operating in the milk sector. The design and development of new optical bio/sensors for food safety and quality is a new research line</w:t>
      </w:r>
      <w:r>
        <w:rPr>
          <w:rFonts w:ascii="Arial"/>
          <w:spacing w:val="-11"/>
          <w:sz w:val="20"/>
        </w:rPr>
        <w:t> </w:t>
      </w:r>
      <w:r>
        <w:rPr>
          <w:rFonts w:ascii="Arial"/>
          <w:sz w:val="20"/>
        </w:rPr>
        <w:t>established</w:t>
      </w:r>
      <w:r>
        <w:rPr>
          <w:rFonts w:ascii="Arial"/>
          <w:spacing w:val="-11"/>
          <w:sz w:val="20"/>
        </w:rPr>
        <w:t> </w:t>
      </w:r>
      <w:r>
        <w:rPr>
          <w:rFonts w:ascii="Arial"/>
          <w:sz w:val="20"/>
        </w:rPr>
        <w:t>at</w:t>
      </w:r>
      <w:r>
        <w:rPr>
          <w:rFonts w:ascii="Arial"/>
          <w:spacing w:val="-6"/>
          <w:sz w:val="20"/>
        </w:rPr>
        <w:t> </w:t>
      </w:r>
      <w:r>
        <w:rPr>
          <w:rFonts w:ascii="Arial"/>
          <w:sz w:val="20"/>
        </w:rPr>
        <w:t>the</w:t>
      </w:r>
      <w:r>
        <w:rPr>
          <w:rFonts w:ascii="Arial"/>
          <w:spacing w:val="-11"/>
          <w:sz w:val="20"/>
        </w:rPr>
        <w:t> </w:t>
      </w:r>
      <w:r>
        <w:rPr>
          <w:rFonts w:ascii="Arial"/>
          <w:sz w:val="20"/>
        </w:rPr>
        <w:t>Institute</w:t>
      </w:r>
      <w:r>
        <w:rPr>
          <w:rFonts w:ascii="Arial"/>
          <w:spacing w:val="-11"/>
          <w:sz w:val="20"/>
        </w:rPr>
        <w:t> </w:t>
      </w:r>
      <w:r>
        <w:rPr>
          <w:rFonts w:ascii="Arial"/>
          <w:sz w:val="20"/>
        </w:rPr>
        <w:t>as</w:t>
      </w:r>
      <w:r>
        <w:rPr>
          <w:rFonts w:ascii="Arial"/>
          <w:spacing w:val="-8"/>
          <w:sz w:val="20"/>
        </w:rPr>
        <w:t> </w:t>
      </w:r>
      <w:r>
        <w:rPr>
          <w:rFonts w:ascii="Arial"/>
          <w:sz w:val="20"/>
        </w:rPr>
        <w:t>a</w:t>
      </w:r>
      <w:r>
        <w:rPr>
          <w:rFonts w:ascii="Arial"/>
          <w:spacing w:val="-11"/>
          <w:sz w:val="20"/>
        </w:rPr>
        <w:t> </w:t>
      </w:r>
      <w:r>
        <w:rPr>
          <w:rFonts w:ascii="Arial"/>
          <w:sz w:val="20"/>
        </w:rPr>
        <w:t>consequence</w:t>
      </w:r>
      <w:r>
        <w:rPr>
          <w:rFonts w:ascii="Arial"/>
          <w:spacing w:val="-11"/>
          <w:sz w:val="20"/>
        </w:rPr>
        <w:t> </w:t>
      </w:r>
      <w:r>
        <w:rPr>
          <w:rFonts w:ascii="Arial"/>
          <w:sz w:val="20"/>
        </w:rPr>
        <w:t>of</w:t>
      </w:r>
      <w:r>
        <w:rPr>
          <w:rFonts w:ascii="Arial"/>
          <w:spacing w:val="-6"/>
          <w:sz w:val="20"/>
        </w:rPr>
        <w:t> </w:t>
      </w:r>
      <w:r>
        <w:rPr>
          <w:rFonts w:ascii="Arial"/>
          <w:sz w:val="20"/>
        </w:rPr>
        <w:t>the</w:t>
      </w:r>
      <w:r>
        <w:rPr>
          <w:rFonts w:ascii="Arial"/>
          <w:spacing w:val="-11"/>
          <w:sz w:val="20"/>
        </w:rPr>
        <w:t> </w:t>
      </w:r>
      <w:r>
        <w:rPr>
          <w:rFonts w:ascii="Arial"/>
          <w:sz w:val="20"/>
        </w:rPr>
        <w:t>moving</w:t>
      </w:r>
      <w:r>
        <w:rPr>
          <w:rFonts w:ascii="Arial"/>
          <w:spacing w:val="-11"/>
          <w:sz w:val="20"/>
        </w:rPr>
        <w:t> </w:t>
      </w:r>
      <w:r>
        <w:rPr>
          <w:rFonts w:ascii="Arial"/>
          <w:sz w:val="20"/>
        </w:rPr>
        <w:t>to</w:t>
      </w:r>
      <w:r>
        <w:rPr>
          <w:rFonts w:ascii="Arial"/>
          <w:spacing w:val="-10"/>
          <w:sz w:val="20"/>
        </w:rPr>
        <w:t> </w:t>
      </w:r>
      <w:r>
        <w:rPr>
          <w:rFonts w:ascii="Arial"/>
          <w:sz w:val="20"/>
        </w:rPr>
        <w:t>CNR-ISA</w:t>
      </w:r>
      <w:r>
        <w:rPr>
          <w:rFonts w:ascii="Arial"/>
          <w:spacing w:val="-9"/>
          <w:sz w:val="20"/>
        </w:rPr>
        <w:t> </w:t>
      </w:r>
      <w:r>
        <w:rPr>
          <w:rFonts w:ascii="Arial"/>
          <w:sz w:val="20"/>
        </w:rPr>
        <w:t>of</w:t>
      </w:r>
      <w:r>
        <w:rPr>
          <w:rFonts w:ascii="Arial"/>
          <w:spacing w:val="-7"/>
          <w:sz w:val="20"/>
        </w:rPr>
        <w:t> </w:t>
      </w:r>
      <w:r>
        <w:rPr>
          <w:rFonts w:ascii="Arial"/>
          <w:sz w:val="20"/>
        </w:rPr>
        <w:t>the</w:t>
      </w:r>
      <w:r>
        <w:rPr>
          <w:rFonts w:ascii="Arial"/>
          <w:spacing w:val="-10"/>
          <w:sz w:val="20"/>
        </w:rPr>
        <w:t> </w:t>
      </w:r>
      <w:r>
        <w:rPr>
          <w:rFonts w:ascii="Arial"/>
          <w:sz w:val="20"/>
        </w:rPr>
        <w:t>Laboratory</w:t>
      </w:r>
      <w:r>
        <w:rPr>
          <w:rFonts w:ascii="Arial"/>
          <w:spacing w:val="-9"/>
          <w:sz w:val="20"/>
        </w:rPr>
        <w:t> </w:t>
      </w:r>
      <w:r>
        <w:rPr>
          <w:rFonts w:ascii="Arial"/>
          <w:sz w:val="20"/>
        </w:rPr>
        <w:t>for</w:t>
      </w:r>
      <w:r>
        <w:rPr>
          <w:rFonts w:ascii="Arial"/>
          <w:spacing w:val="-8"/>
          <w:sz w:val="20"/>
        </w:rPr>
        <w:t> </w:t>
      </w:r>
      <w:r>
        <w:rPr>
          <w:rFonts w:ascii="Arial"/>
          <w:sz w:val="20"/>
        </w:rPr>
        <w:t>Molecular</w:t>
      </w:r>
      <w:r>
        <w:rPr>
          <w:rFonts w:ascii="Arial"/>
          <w:spacing w:val="-9"/>
          <w:sz w:val="20"/>
        </w:rPr>
        <w:t> </w:t>
      </w:r>
      <w:r>
        <w:rPr>
          <w:rFonts w:ascii="Arial"/>
          <w:sz w:val="20"/>
        </w:rPr>
        <w:t>Sensing. The research activities performed at CNR-ISA are </w:t>
      </w:r>
      <w:r>
        <w:rPr>
          <w:rFonts w:ascii="Arial"/>
          <w:spacing w:val="-3"/>
          <w:sz w:val="20"/>
        </w:rPr>
        <w:t>mainly </w:t>
      </w:r>
      <w:r>
        <w:rPr>
          <w:rFonts w:ascii="Arial"/>
          <w:sz w:val="20"/>
        </w:rPr>
        <w:t>funded by competitive national and international grants  as well as by contracts of collaborations with food industries. These performances have attracted a high number of students and junior researchers trained at different </w:t>
      </w:r>
      <w:r>
        <w:rPr>
          <w:rFonts w:ascii="Arial"/>
          <w:spacing w:val="-3"/>
          <w:sz w:val="20"/>
        </w:rPr>
        <w:t>levels </w:t>
      </w:r>
      <w:r>
        <w:rPr>
          <w:rFonts w:ascii="Arial"/>
          <w:sz w:val="20"/>
        </w:rPr>
        <w:t>of their academic and/or scientific</w:t>
      </w:r>
      <w:r>
        <w:rPr>
          <w:rFonts w:ascii="Arial"/>
          <w:spacing w:val="7"/>
          <w:sz w:val="20"/>
        </w:rPr>
        <w:t> </w:t>
      </w:r>
      <w:r>
        <w:rPr>
          <w:rFonts w:ascii="Arial"/>
          <w:sz w:val="20"/>
        </w:rPr>
        <w:t>career.</w:t>
      </w:r>
    </w:p>
    <w:p>
      <w:pPr>
        <w:pStyle w:val="BodyText"/>
        <w:spacing w:before="9"/>
        <w:rPr>
          <w:rFonts w:ascii="Arial"/>
          <w:sz w:val="17"/>
        </w:rPr>
      </w:pPr>
    </w:p>
    <w:p>
      <w:pPr>
        <w:spacing w:line="278" w:lineRule="exact" w:before="1"/>
        <w:ind w:left="209" w:right="0" w:firstLine="0"/>
        <w:jc w:val="left"/>
        <w:rPr>
          <w:b/>
          <w:sz w:val="24"/>
        </w:rPr>
      </w:pPr>
      <w:r>
        <w:rPr>
          <w:b/>
          <w:color w:val="EC1651"/>
          <w:sz w:val="24"/>
        </w:rPr>
        <w:t>References</w:t>
      </w:r>
    </w:p>
    <w:p>
      <w:pPr>
        <w:pStyle w:val="ListParagraph"/>
        <w:numPr>
          <w:ilvl w:val="0"/>
          <w:numId w:val="1"/>
        </w:numPr>
        <w:tabs>
          <w:tab w:pos="690" w:val="left" w:leader="none"/>
        </w:tabs>
        <w:spacing w:line="237" w:lineRule="auto" w:before="1" w:after="0"/>
        <w:ind w:left="689" w:right="167" w:hanging="360"/>
        <w:jc w:val="both"/>
        <w:rPr>
          <w:sz w:val="18"/>
        </w:rPr>
      </w:pPr>
      <w:r>
        <w:rPr>
          <w:sz w:val="18"/>
        </w:rPr>
        <w:t>Rabassa, M.; Zamora-Ros, R.; Urpi-Sarda, </w:t>
      </w:r>
      <w:r>
        <w:rPr>
          <w:spacing w:val="-3"/>
          <w:sz w:val="18"/>
        </w:rPr>
        <w:t>M.; Bandinelli, </w:t>
      </w:r>
      <w:r>
        <w:rPr>
          <w:sz w:val="18"/>
        </w:rPr>
        <w:t>S.; Ferrucci, </w:t>
      </w:r>
      <w:r>
        <w:rPr>
          <w:spacing w:val="-3"/>
          <w:sz w:val="18"/>
        </w:rPr>
        <w:t>L.; </w:t>
      </w:r>
      <w:r>
        <w:rPr>
          <w:sz w:val="18"/>
        </w:rPr>
        <w:t>Andres-Lacueva, C.; Cherubini, </w:t>
      </w:r>
      <w:r>
        <w:rPr>
          <w:spacing w:val="-4"/>
          <w:sz w:val="18"/>
        </w:rPr>
        <w:t>A. </w:t>
      </w:r>
      <w:r>
        <w:rPr>
          <w:spacing w:val="-3"/>
          <w:sz w:val="18"/>
        </w:rPr>
        <w:t>Association </w:t>
      </w:r>
      <w:r>
        <w:rPr>
          <w:sz w:val="18"/>
        </w:rPr>
        <w:t>of habitual dietary resveratrol exposure with the </w:t>
      </w:r>
      <w:r>
        <w:rPr>
          <w:spacing w:val="-3"/>
          <w:sz w:val="18"/>
        </w:rPr>
        <w:t>development of </w:t>
      </w:r>
      <w:r>
        <w:rPr>
          <w:sz w:val="18"/>
        </w:rPr>
        <w:t>frailty in </w:t>
      </w:r>
      <w:r>
        <w:rPr>
          <w:spacing w:val="-3"/>
          <w:sz w:val="18"/>
        </w:rPr>
        <w:t>older </w:t>
      </w:r>
      <w:r>
        <w:rPr>
          <w:sz w:val="18"/>
        </w:rPr>
        <w:t>age: The Invecchiare in Chianti study. </w:t>
      </w:r>
      <w:r>
        <w:rPr>
          <w:spacing w:val="-4"/>
          <w:sz w:val="18"/>
        </w:rPr>
        <w:t>Am. </w:t>
      </w:r>
      <w:r>
        <w:rPr>
          <w:spacing w:val="-3"/>
          <w:sz w:val="18"/>
        </w:rPr>
        <w:t>J. </w:t>
      </w:r>
      <w:r>
        <w:rPr>
          <w:sz w:val="18"/>
        </w:rPr>
        <w:t>Clin. Nutr. </w:t>
      </w:r>
      <w:r>
        <w:rPr>
          <w:spacing w:val="-3"/>
          <w:sz w:val="18"/>
        </w:rPr>
        <w:t>2015, </w:t>
      </w:r>
      <w:r>
        <w:rPr>
          <w:sz w:val="18"/>
        </w:rPr>
        <w:t>102,</w:t>
      </w:r>
      <w:r>
        <w:rPr>
          <w:spacing w:val="10"/>
          <w:sz w:val="18"/>
        </w:rPr>
        <w:t> </w:t>
      </w:r>
      <w:r>
        <w:rPr>
          <w:sz w:val="18"/>
        </w:rPr>
        <w:t>1534–1542.</w:t>
      </w:r>
    </w:p>
    <w:p>
      <w:pPr>
        <w:pStyle w:val="ListParagraph"/>
        <w:numPr>
          <w:ilvl w:val="0"/>
          <w:numId w:val="1"/>
        </w:numPr>
        <w:tabs>
          <w:tab w:pos="690" w:val="left" w:leader="none"/>
        </w:tabs>
        <w:spacing w:line="242" w:lineRule="auto" w:before="0" w:after="0"/>
        <w:ind w:left="689" w:right="165" w:hanging="360"/>
        <w:jc w:val="both"/>
        <w:rPr>
          <w:sz w:val="18"/>
        </w:rPr>
      </w:pPr>
      <w:r>
        <w:rPr>
          <w:sz w:val="18"/>
        </w:rPr>
        <w:t>Hills,</w:t>
      </w:r>
      <w:r>
        <w:rPr>
          <w:spacing w:val="-6"/>
          <w:sz w:val="18"/>
        </w:rPr>
        <w:t> </w:t>
      </w:r>
      <w:r>
        <w:rPr>
          <w:sz w:val="18"/>
        </w:rPr>
        <w:t>R.D.,</w:t>
      </w:r>
      <w:r>
        <w:rPr>
          <w:spacing w:val="-6"/>
          <w:sz w:val="18"/>
        </w:rPr>
        <w:t> </w:t>
      </w:r>
      <w:r>
        <w:rPr>
          <w:sz w:val="18"/>
        </w:rPr>
        <w:t>Jr.;</w:t>
      </w:r>
      <w:r>
        <w:rPr>
          <w:spacing w:val="-6"/>
          <w:sz w:val="18"/>
        </w:rPr>
        <w:t> </w:t>
      </w:r>
      <w:r>
        <w:rPr>
          <w:sz w:val="18"/>
        </w:rPr>
        <w:t>Pontefract,</w:t>
      </w:r>
      <w:r>
        <w:rPr>
          <w:spacing w:val="-6"/>
          <w:sz w:val="18"/>
        </w:rPr>
        <w:t> </w:t>
      </w:r>
      <w:r>
        <w:rPr>
          <w:sz w:val="18"/>
        </w:rPr>
        <w:t>B.A.;</w:t>
      </w:r>
      <w:r>
        <w:rPr>
          <w:spacing w:val="-11"/>
          <w:sz w:val="18"/>
        </w:rPr>
        <w:t> </w:t>
      </w:r>
      <w:r>
        <w:rPr>
          <w:sz w:val="18"/>
        </w:rPr>
        <w:t>Mishcon,</w:t>
      </w:r>
      <w:r>
        <w:rPr>
          <w:spacing w:val="-6"/>
          <w:sz w:val="18"/>
        </w:rPr>
        <w:t> </w:t>
      </w:r>
      <w:r>
        <w:rPr>
          <w:spacing w:val="-3"/>
          <w:sz w:val="18"/>
        </w:rPr>
        <w:t>H.R.;</w:t>
      </w:r>
      <w:r>
        <w:rPr>
          <w:spacing w:val="-6"/>
          <w:sz w:val="18"/>
        </w:rPr>
        <w:t> </w:t>
      </w:r>
      <w:r>
        <w:rPr>
          <w:sz w:val="18"/>
        </w:rPr>
        <w:t>Black,</w:t>
      </w:r>
      <w:r>
        <w:rPr>
          <w:spacing w:val="-6"/>
          <w:sz w:val="18"/>
        </w:rPr>
        <w:t> </w:t>
      </w:r>
      <w:r>
        <w:rPr>
          <w:spacing w:val="-3"/>
          <w:sz w:val="18"/>
        </w:rPr>
        <w:t>C.A.;</w:t>
      </w:r>
      <w:r>
        <w:rPr>
          <w:spacing w:val="-6"/>
          <w:sz w:val="18"/>
        </w:rPr>
        <w:t> </w:t>
      </w:r>
      <w:r>
        <w:rPr>
          <w:sz w:val="18"/>
        </w:rPr>
        <w:t>Sutton,</w:t>
      </w:r>
      <w:r>
        <w:rPr>
          <w:spacing w:val="-6"/>
          <w:sz w:val="18"/>
        </w:rPr>
        <w:t> </w:t>
      </w:r>
      <w:r>
        <w:rPr>
          <w:spacing w:val="-3"/>
          <w:sz w:val="18"/>
        </w:rPr>
        <w:t>S.C.;</w:t>
      </w:r>
      <w:r>
        <w:rPr>
          <w:spacing w:val="-6"/>
          <w:sz w:val="18"/>
        </w:rPr>
        <w:t> </w:t>
      </w:r>
      <w:r>
        <w:rPr>
          <w:sz w:val="18"/>
        </w:rPr>
        <w:t>Theberge,</w:t>
      </w:r>
      <w:r>
        <w:rPr>
          <w:spacing w:val="-10"/>
          <w:sz w:val="18"/>
        </w:rPr>
        <w:t> </w:t>
      </w:r>
      <w:r>
        <w:rPr>
          <w:sz w:val="18"/>
        </w:rPr>
        <w:t>C.R.</w:t>
      </w:r>
      <w:r>
        <w:rPr>
          <w:spacing w:val="-11"/>
          <w:sz w:val="18"/>
        </w:rPr>
        <w:t> </w:t>
      </w:r>
      <w:r>
        <w:rPr>
          <w:sz w:val="18"/>
        </w:rPr>
        <w:t>Gut</w:t>
      </w:r>
      <w:r>
        <w:rPr>
          <w:spacing w:val="-11"/>
          <w:sz w:val="18"/>
        </w:rPr>
        <w:t> </w:t>
      </w:r>
      <w:r>
        <w:rPr>
          <w:sz w:val="18"/>
        </w:rPr>
        <w:t>Microbiome:</w:t>
      </w:r>
      <w:r>
        <w:rPr>
          <w:spacing w:val="-11"/>
          <w:sz w:val="18"/>
        </w:rPr>
        <w:t> </w:t>
      </w:r>
      <w:r>
        <w:rPr>
          <w:sz w:val="18"/>
        </w:rPr>
        <w:t>Profound</w:t>
      </w:r>
      <w:r>
        <w:rPr>
          <w:spacing w:val="-14"/>
          <w:sz w:val="18"/>
        </w:rPr>
        <w:t> </w:t>
      </w:r>
      <w:r>
        <w:rPr>
          <w:sz w:val="18"/>
        </w:rPr>
        <w:t>Implications for Diet and Disease. Nutrients 2019, </w:t>
      </w:r>
      <w:r>
        <w:rPr>
          <w:spacing w:val="-3"/>
          <w:sz w:val="18"/>
        </w:rPr>
        <w:t>11,</w:t>
      </w:r>
      <w:r>
        <w:rPr>
          <w:spacing w:val="1"/>
          <w:sz w:val="18"/>
        </w:rPr>
        <w:t> </w:t>
      </w:r>
      <w:r>
        <w:rPr>
          <w:sz w:val="18"/>
        </w:rPr>
        <w:t>1613</w:t>
      </w:r>
    </w:p>
    <w:p>
      <w:pPr>
        <w:pStyle w:val="ListParagraph"/>
        <w:numPr>
          <w:ilvl w:val="0"/>
          <w:numId w:val="1"/>
        </w:numPr>
        <w:tabs>
          <w:tab w:pos="690" w:val="left" w:leader="none"/>
        </w:tabs>
        <w:spacing w:line="237" w:lineRule="auto" w:before="0" w:after="0"/>
        <w:ind w:left="689" w:right="162" w:hanging="360"/>
        <w:jc w:val="both"/>
        <w:rPr>
          <w:sz w:val="18"/>
        </w:rPr>
      </w:pPr>
      <w:r>
        <w:rPr>
          <w:sz w:val="18"/>
        </w:rPr>
        <w:t>Pecora, F.; Persico, F.; Gismondi, </w:t>
      </w:r>
      <w:r>
        <w:rPr>
          <w:spacing w:val="-4"/>
          <w:sz w:val="18"/>
        </w:rPr>
        <w:t>P.; </w:t>
      </w:r>
      <w:r>
        <w:rPr>
          <w:sz w:val="18"/>
        </w:rPr>
        <w:t>Fornaroli, </w:t>
      </w:r>
      <w:r>
        <w:rPr>
          <w:spacing w:val="-3"/>
          <w:sz w:val="18"/>
        </w:rPr>
        <w:t>F.; </w:t>
      </w:r>
      <w:r>
        <w:rPr>
          <w:sz w:val="18"/>
        </w:rPr>
        <w:t>Iuliano, S.; </w:t>
      </w:r>
      <w:r>
        <w:rPr>
          <w:spacing w:val="-3"/>
          <w:sz w:val="18"/>
        </w:rPr>
        <w:t>De’Angelis, </w:t>
      </w:r>
      <w:r>
        <w:rPr>
          <w:sz w:val="18"/>
        </w:rPr>
        <w:t>G.L.; Esposito, </w:t>
      </w:r>
      <w:r>
        <w:rPr>
          <w:spacing w:val="-4"/>
          <w:sz w:val="18"/>
        </w:rPr>
        <w:t>S. </w:t>
      </w:r>
      <w:r>
        <w:rPr>
          <w:sz w:val="18"/>
        </w:rPr>
        <w:t>Gut Microbiota in Celiac Disease: Is There Any Role for Probiotics? Front. Immunol. 2020, </w:t>
      </w:r>
      <w:r>
        <w:rPr>
          <w:spacing w:val="-3"/>
          <w:sz w:val="18"/>
        </w:rPr>
        <w:t>11,</w:t>
      </w:r>
      <w:r>
        <w:rPr>
          <w:spacing w:val="-7"/>
          <w:sz w:val="18"/>
        </w:rPr>
        <w:t> </w:t>
      </w:r>
      <w:r>
        <w:rPr>
          <w:sz w:val="18"/>
        </w:rPr>
        <w:t>957.</w:t>
      </w:r>
    </w:p>
    <w:p>
      <w:pPr>
        <w:pStyle w:val="ListParagraph"/>
        <w:numPr>
          <w:ilvl w:val="0"/>
          <w:numId w:val="1"/>
        </w:numPr>
        <w:tabs>
          <w:tab w:pos="690" w:val="left" w:leader="none"/>
        </w:tabs>
        <w:spacing w:line="207" w:lineRule="exact" w:before="0" w:after="0"/>
        <w:ind w:left="689" w:right="0" w:hanging="361"/>
        <w:jc w:val="both"/>
        <w:rPr>
          <w:sz w:val="18"/>
        </w:rPr>
      </w:pPr>
      <w:r>
        <w:rPr>
          <w:sz w:val="18"/>
        </w:rPr>
        <w:t>Zhao, W.; </w:t>
      </w:r>
      <w:r>
        <w:rPr>
          <w:spacing w:val="-3"/>
          <w:sz w:val="18"/>
        </w:rPr>
        <w:t>Ho, </w:t>
      </w:r>
      <w:r>
        <w:rPr>
          <w:sz w:val="18"/>
        </w:rPr>
        <w:t>H.-E.; Bunyavanich, S. The </w:t>
      </w:r>
      <w:r>
        <w:rPr>
          <w:spacing w:val="-3"/>
          <w:sz w:val="18"/>
        </w:rPr>
        <w:t>gut </w:t>
      </w:r>
      <w:r>
        <w:rPr>
          <w:sz w:val="18"/>
        </w:rPr>
        <w:t>microbiome in food allergy. </w:t>
      </w:r>
      <w:r>
        <w:rPr>
          <w:spacing w:val="-3"/>
          <w:sz w:val="18"/>
        </w:rPr>
        <w:t>Ann. </w:t>
      </w:r>
      <w:r>
        <w:rPr>
          <w:sz w:val="18"/>
        </w:rPr>
        <w:t>Allergy Asthma Immunol. 2019, 122,</w:t>
      </w:r>
      <w:r>
        <w:rPr>
          <w:spacing w:val="-5"/>
          <w:sz w:val="18"/>
        </w:rPr>
        <w:t> </w:t>
      </w:r>
      <w:r>
        <w:rPr>
          <w:sz w:val="18"/>
        </w:rPr>
        <w:t>276–282.</w:t>
      </w:r>
    </w:p>
    <w:p>
      <w:pPr>
        <w:pStyle w:val="ListParagraph"/>
        <w:numPr>
          <w:ilvl w:val="0"/>
          <w:numId w:val="1"/>
        </w:numPr>
        <w:tabs>
          <w:tab w:pos="690" w:val="left" w:leader="none"/>
        </w:tabs>
        <w:spacing w:line="206" w:lineRule="exact" w:before="0" w:after="0"/>
        <w:ind w:left="689" w:right="0" w:hanging="361"/>
        <w:jc w:val="both"/>
        <w:rPr>
          <w:sz w:val="18"/>
        </w:rPr>
      </w:pPr>
      <w:r>
        <w:rPr>
          <w:sz w:val="18"/>
        </w:rPr>
        <w:t>Heiss, </w:t>
      </w:r>
      <w:r>
        <w:rPr>
          <w:spacing w:val="-3"/>
          <w:sz w:val="18"/>
        </w:rPr>
        <w:t>C.N.; </w:t>
      </w:r>
      <w:r>
        <w:rPr>
          <w:sz w:val="18"/>
        </w:rPr>
        <w:t>Olofsson, L.E. Gut Microbiota-Dependent Modulation </w:t>
      </w:r>
      <w:r>
        <w:rPr>
          <w:spacing w:val="-3"/>
          <w:sz w:val="18"/>
        </w:rPr>
        <w:t>of </w:t>
      </w:r>
      <w:r>
        <w:rPr>
          <w:sz w:val="18"/>
        </w:rPr>
        <w:t>Energy Metabolism. </w:t>
      </w:r>
      <w:r>
        <w:rPr>
          <w:spacing w:val="-3"/>
          <w:sz w:val="18"/>
        </w:rPr>
        <w:t>J. </w:t>
      </w:r>
      <w:r>
        <w:rPr>
          <w:sz w:val="18"/>
        </w:rPr>
        <w:t>Innate </w:t>
      </w:r>
      <w:r>
        <w:rPr>
          <w:spacing w:val="-3"/>
          <w:sz w:val="18"/>
        </w:rPr>
        <w:t>Immun. </w:t>
      </w:r>
      <w:r>
        <w:rPr>
          <w:sz w:val="18"/>
        </w:rPr>
        <w:t>2018, </w:t>
      </w:r>
      <w:r>
        <w:rPr>
          <w:spacing w:val="-3"/>
          <w:sz w:val="18"/>
        </w:rPr>
        <w:t>10,</w:t>
      </w:r>
      <w:r>
        <w:rPr>
          <w:spacing w:val="25"/>
          <w:sz w:val="18"/>
        </w:rPr>
        <w:t> </w:t>
      </w:r>
      <w:r>
        <w:rPr>
          <w:sz w:val="18"/>
        </w:rPr>
        <w:t>163–171.</w:t>
      </w:r>
    </w:p>
    <w:p>
      <w:pPr>
        <w:pStyle w:val="ListParagraph"/>
        <w:numPr>
          <w:ilvl w:val="0"/>
          <w:numId w:val="1"/>
        </w:numPr>
        <w:tabs>
          <w:tab w:pos="690" w:val="left" w:leader="none"/>
        </w:tabs>
        <w:spacing w:line="237" w:lineRule="auto" w:before="0" w:after="0"/>
        <w:ind w:left="689" w:right="167" w:hanging="360"/>
        <w:jc w:val="both"/>
        <w:rPr>
          <w:sz w:val="18"/>
        </w:rPr>
      </w:pPr>
      <w:r>
        <w:rPr>
          <w:sz w:val="18"/>
        </w:rPr>
        <w:t>Torres-Fuentes, C.; Schellekens, H.; Dinan, T.G.; Cryan, </w:t>
      </w:r>
      <w:r>
        <w:rPr>
          <w:spacing w:val="-3"/>
          <w:sz w:val="18"/>
        </w:rPr>
        <w:t>J.F. </w:t>
      </w:r>
      <w:r>
        <w:rPr>
          <w:sz w:val="18"/>
        </w:rPr>
        <w:t>The microbiota–gut–brain </w:t>
      </w:r>
      <w:r>
        <w:rPr>
          <w:spacing w:val="-3"/>
          <w:sz w:val="18"/>
        </w:rPr>
        <w:t>axis </w:t>
      </w:r>
      <w:r>
        <w:rPr>
          <w:sz w:val="18"/>
        </w:rPr>
        <w:t>in obesity. Lancet Gastroenterol. Hepatol. 2017, 2, </w:t>
      </w:r>
      <w:r>
        <w:rPr>
          <w:spacing w:val="-3"/>
          <w:sz w:val="18"/>
        </w:rPr>
        <w:t>747–756.</w:t>
      </w:r>
    </w:p>
    <w:p>
      <w:pPr>
        <w:pStyle w:val="ListParagraph"/>
        <w:numPr>
          <w:ilvl w:val="0"/>
          <w:numId w:val="1"/>
        </w:numPr>
        <w:tabs>
          <w:tab w:pos="690" w:val="left" w:leader="none"/>
        </w:tabs>
        <w:spacing w:line="237" w:lineRule="auto" w:before="6" w:after="0"/>
        <w:ind w:left="689" w:right="162" w:hanging="360"/>
        <w:jc w:val="both"/>
        <w:rPr>
          <w:sz w:val="18"/>
        </w:rPr>
      </w:pPr>
      <w:r>
        <w:rPr>
          <w:sz w:val="18"/>
        </w:rPr>
        <w:t>Dello</w:t>
      </w:r>
      <w:r>
        <w:rPr>
          <w:spacing w:val="-11"/>
          <w:sz w:val="18"/>
        </w:rPr>
        <w:t> </w:t>
      </w:r>
      <w:r>
        <w:rPr>
          <w:sz w:val="18"/>
        </w:rPr>
        <w:t>Russo,</w:t>
      </w:r>
      <w:r>
        <w:rPr>
          <w:spacing w:val="-11"/>
          <w:sz w:val="18"/>
        </w:rPr>
        <w:t> </w:t>
      </w:r>
      <w:r>
        <w:rPr>
          <w:sz w:val="18"/>
        </w:rPr>
        <w:t>M.;</w:t>
      </w:r>
      <w:r>
        <w:rPr>
          <w:spacing w:val="-12"/>
          <w:sz w:val="18"/>
        </w:rPr>
        <w:t> </w:t>
      </w:r>
      <w:r>
        <w:rPr>
          <w:sz w:val="18"/>
        </w:rPr>
        <w:t>Russo,</w:t>
      </w:r>
      <w:r>
        <w:rPr>
          <w:spacing w:val="-8"/>
          <w:sz w:val="18"/>
        </w:rPr>
        <w:t> </w:t>
      </w:r>
      <w:r>
        <w:rPr>
          <w:spacing w:val="-4"/>
          <w:sz w:val="18"/>
        </w:rPr>
        <w:t>P.;</w:t>
      </w:r>
      <w:r>
        <w:rPr>
          <w:spacing w:val="-7"/>
          <w:sz w:val="18"/>
        </w:rPr>
        <w:t> </w:t>
      </w:r>
      <w:r>
        <w:rPr>
          <w:sz w:val="18"/>
        </w:rPr>
        <w:t>Rufián-Henares,</w:t>
      </w:r>
      <w:r>
        <w:rPr>
          <w:spacing w:val="-12"/>
          <w:sz w:val="18"/>
        </w:rPr>
        <w:t> </w:t>
      </w:r>
      <w:r>
        <w:rPr>
          <w:sz w:val="18"/>
        </w:rPr>
        <w:t>J.Á.;</w:t>
      </w:r>
      <w:r>
        <w:rPr>
          <w:spacing w:val="-12"/>
          <w:sz w:val="18"/>
        </w:rPr>
        <w:t> </w:t>
      </w:r>
      <w:r>
        <w:rPr>
          <w:sz w:val="18"/>
        </w:rPr>
        <w:t>Hinojosa-Nogueira,</w:t>
      </w:r>
      <w:r>
        <w:rPr>
          <w:spacing w:val="-7"/>
          <w:sz w:val="18"/>
        </w:rPr>
        <w:t> </w:t>
      </w:r>
      <w:r>
        <w:rPr>
          <w:sz w:val="18"/>
        </w:rPr>
        <w:t>D.;</w:t>
      </w:r>
      <w:r>
        <w:rPr>
          <w:spacing w:val="-7"/>
          <w:sz w:val="18"/>
        </w:rPr>
        <w:t> </w:t>
      </w:r>
      <w:r>
        <w:rPr>
          <w:sz w:val="18"/>
        </w:rPr>
        <w:t>Pérez-Burillo,</w:t>
      </w:r>
      <w:r>
        <w:rPr>
          <w:spacing w:val="-12"/>
          <w:sz w:val="18"/>
        </w:rPr>
        <w:t> </w:t>
      </w:r>
      <w:r>
        <w:rPr>
          <w:sz w:val="18"/>
        </w:rPr>
        <w:t>et</w:t>
      </w:r>
      <w:r>
        <w:rPr>
          <w:spacing w:val="-12"/>
          <w:sz w:val="18"/>
        </w:rPr>
        <w:t> </w:t>
      </w:r>
      <w:r>
        <w:rPr>
          <w:sz w:val="18"/>
        </w:rPr>
        <w:t>al.</w:t>
      </w:r>
      <w:r>
        <w:rPr>
          <w:spacing w:val="-12"/>
          <w:sz w:val="18"/>
        </w:rPr>
        <w:t> </w:t>
      </w:r>
      <w:r>
        <w:rPr>
          <w:sz w:val="18"/>
        </w:rPr>
        <w:t>(2022)</w:t>
      </w:r>
      <w:r>
        <w:rPr>
          <w:spacing w:val="-8"/>
          <w:sz w:val="18"/>
        </w:rPr>
        <w:t> </w:t>
      </w:r>
      <w:r>
        <w:rPr>
          <w:spacing w:val="-3"/>
          <w:sz w:val="18"/>
        </w:rPr>
        <w:t>The</w:t>
      </w:r>
      <w:r>
        <w:rPr>
          <w:spacing w:val="-10"/>
          <w:sz w:val="18"/>
        </w:rPr>
        <w:t> </w:t>
      </w:r>
      <w:r>
        <w:rPr>
          <w:sz w:val="18"/>
        </w:rPr>
        <w:t>Stance4Health</w:t>
      </w:r>
      <w:r>
        <w:rPr>
          <w:spacing w:val="-10"/>
          <w:sz w:val="18"/>
        </w:rPr>
        <w:t> </w:t>
      </w:r>
      <w:r>
        <w:rPr>
          <w:sz w:val="18"/>
        </w:rPr>
        <w:t>Project: Evaluating</w:t>
      </w:r>
      <w:r>
        <w:rPr>
          <w:spacing w:val="-8"/>
          <w:sz w:val="18"/>
        </w:rPr>
        <w:t> </w:t>
      </w:r>
      <w:r>
        <w:rPr>
          <w:sz w:val="18"/>
        </w:rPr>
        <w:t>a</w:t>
      </w:r>
      <w:r>
        <w:rPr>
          <w:spacing w:val="-7"/>
          <w:sz w:val="18"/>
        </w:rPr>
        <w:t> </w:t>
      </w:r>
      <w:r>
        <w:rPr>
          <w:spacing w:val="-3"/>
          <w:sz w:val="18"/>
        </w:rPr>
        <w:t>Smart</w:t>
      </w:r>
      <w:r>
        <w:rPr>
          <w:spacing w:val="-4"/>
          <w:sz w:val="18"/>
        </w:rPr>
        <w:t> </w:t>
      </w:r>
      <w:r>
        <w:rPr>
          <w:sz w:val="18"/>
        </w:rPr>
        <w:t>Personalised</w:t>
      </w:r>
      <w:r>
        <w:rPr>
          <w:spacing w:val="-7"/>
          <w:sz w:val="18"/>
        </w:rPr>
        <w:t> </w:t>
      </w:r>
      <w:r>
        <w:rPr>
          <w:sz w:val="18"/>
        </w:rPr>
        <w:t>Nutrition</w:t>
      </w:r>
      <w:r>
        <w:rPr>
          <w:spacing w:val="-7"/>
          <w:sz w:val="18"/>
        </w:rPr>
        <w:t> </w:t>
      </w:r>
      <w:r>
        <w:rPr>
          <w:sz w:val="18"/>
        </w:rPr>
        <w:t>Service</w:t>
      </w:r>
      <w:r>
        <w:rPr>
          <w:spacing w:val="-7"/>
          <w:sz w:val="18"/>
        </w:rPr>
        <w:t> </w:t>
      </w:r>
      <w:r>
        <w:rPr>
          <w:sz w:val="18"/>
        </w:rPr>
        <w:t>for</w:t>
      </w:r>
      <w:r>
        <w:rPr>
          <w:spacing w:val="-9"/>
          <w:sz w:val="18"/>
        </w:rPr>
        <w:t> </w:t>
      </w:r>
      <w:r>
        <w:rPr>
          <w:sz w:val="18"/>
        </w:rPr>
        <w:t>Gut</w:t>
      </w:r>
      <w:r>
        <w:rPr>
          <w:spacing w:val="-9"/>
          <w:sz w:val="18"/>
        </w:rPr>
        <w:t> </w:t>
      </w:r>
      <w:r>
        <w:rPr>
          <w:sz w:val="18"/>
        </w:rPr>
        <w:t>Microbiota</w:t>
      </w:r>
      <w:r>
        <w:rPr>
          <w:spacing w:val="-12"/>
          <w:sz w:val="18"/>
        </w:rPr>
        <w:t> </w:t>
      </w:r>
      <w:r>
        <w:rPr>
          <w:sz w:val="18"/>
        </w:rPr>
        <w:t>Modulation</w:t>
      </w:r>
      <w:r>
        <w:rPr>
          <w:spacing w:val="-7"/>
          <w:sz w:val="18"/>
        </w:rPr>
        <w:t> </w:t>
      </w:r>
      <w:r>
        <w:rPr>
          <w:sz w:val="18"/>
        </w:rPr>
        <w:t>in</w:t>
      </w:r>
      <w:r>
        <w:rPr>
          <w:spacing w:val="-2"/>
          <w:sz w:val="18"/>
        </w:rPr>
        <w:t> </w:t>
      </w:r>
      <w:r>
        <w:rPr>
          <w:spacing w:val="-3"/>
          <w:sz w:val="18"/>
        </w:rPr>
        <w:t>Normal-</w:t>
      </w:r>
      <w:r>
        <w:rPr>
          <w:spacing w:val="-5"/>
          <w:sz w:val="18"/>
        </w:rPr>
        <w:t> </w:t>
      </w:r>
      <w:r>
        <w:rPr>
          <w:sz w:val="18"/>
        </w:rPr>
        <w:t>and</w:t>
      </w:r>
      <w:r>
        <w:rPr>
          <w:spacing w:val="-12"/>
          <w:sz w:val="18"/>
        </w:rPr>
        <w:t> </w:t>
      </w:r>
      <w:r>
        <w:rPr>
          <w:sz w:val="18"/>
        </w:rPr>
        <w:t>Overweight</w:t>
      </w:r>
      <w:r>
        <w:rPr>
          <w:spacing w:val="-4"/>
          <w:sz w:val="18"/>
        </w:rPr>
        <w:t> </w:t>
      </w:r>
      <w:r>
        <w:rPr>
          <w:sz w:val="18"/>
        </w:rPr>
        <w:t>Adults</w:t>
      </w:r>
      <w:r>
        <w:rPr>
          <w:spacing w:val="-6"/>
          <w:sz w:val="18"/>
        </w:rPr>
        <w:t> </w:t>
      </w:r>
      <w:r>
        <w:rPr>
          <w:sz w:val="18"/>
        </w:rPr>
        <w:t>and</w:t>
      </w:r>
      <w:r>
        <w:rPr>
          <w:spacing w:val="-8"/>
          <w:sz w:val="18"/>
        </w:rPr>
        <w:t> </w:t>
      </w:r>
      <w:r>
        <w:rPr>
          <w:sz w:val="18"/>
        </w:rPr>
        <w:t>Children with Obesity, Gluten-Related Disorders or Allergy/Intolerance to Cow’s Milk. </w:t>
      </w:r>
      <w:r>
        <w:rPr>
          <w:i/>
          <w:spacing w:val="-3"/>
          <w:sz w:val="18"/>
        </w:rPr>
        <w:t>Foods</w:t>
      </w:r>
      <w:r>
        <w:rPr>
          <w:spacing w:val="-3"/>
          <w:sz w:val="18"/>
        </w:rPr>
        <w:t>, </w:t>
      </w:r>
      <w:r>
        <w:rPr>
          <w:i/>
          <w:spacing w:val="-3"/>
          <w:sz w:val="18"/>
        </w:rPr>
        <w:t>11</w:t>
      </w:r>
      <w:r>
        <w:rPr>
          <w:spacing w:val="-3"/>
          <w:sz w:val="18"/>
        </w:rPr>
        <w:t>,</w:t>
      </w:r>
      <w:r>
        <w:rPr>
          <w:spacing w:val="-11"/>
          <w:sz w:val="18"/>
        </w:rPr>
        <w:t> </w:t>
      </w:r>
      <w:r>
        <w:rPr>
          <w:sz w:val="18"/>
        </w:rPr>
        <w:t>1480.</w:t>
      </w:r>
    </w:p>
    <w:sectPr>
      <w:pgSz w:w="11910" w:h="16840"/>
      <w:pgMar w:header="28" w:footer="308" w:top="2040" w:bottom="500" w:left="520" w:right="4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Trebuchet MS">
    <w:altName w:val="Trebuchet MS"/>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rect style="position:absolute;margin-left:575.091003pt;margin-top:823.590698pt;width:6.449pt;height:13.79998pt;mso-position-horizontal-relative:page;mso-position-vertical-relative:page;z-index:-15788544" filled="true" fillcolor="#ec1651" stroked="false">
          <v:fill type="solid"/>
          <w10:wrap type="none"/>
        </v:rect>
      </w:pict>
    </w:r>
    <w:r>
      <w:rPr/>
      <w:pict>
        <v:rect style="position:absolute;margin-left:588.291016pt;margin-top:823.590698pt;width:3.349pt;height:13.79998pt;mso-position-horizontal-relative:page;mso-position-vertical-relative:page;z-index:-15788032" filled="true" fillcolor="#ec1651" stroked="false">
          <v:fill type="solid"/>
          <w10:wrap type="none"/>
        </v:rect>
      </w:pict>
    </w:r>
    <w:r>
      <w:rPr/>
      <w:pict>
        <v:rect style="position:absolute;margin-left:1.3906pt;margin-top:812.490906pt;width:593.885401pt;height:.9999pt;mso-position-horizontal-relative:page;mso-position-vertical-relative:page;z-index:-15787520" filled="true" fillcolor="#ec1651" stroked="false">
          <v:fill type="solid"/>
          <w10:wrap type="none"/>
        </v:rect>
      </w:pict>
    </w:r>
    <w:r>
      <w:rPr/>
      <w:pict>
        <v:shape style="position:absolute;margin-left:42.910599pt;margin-top:819.490295pt;width:102.45pt;height:9.8pt;mso-position-horizontal-relative:page;mso-position-vertical-relative:page;z-index:-15787008" type="#_x0000_t202" filled="false" stroked="false">
          <v:textbox inset="0,0,0,0">
            <w:txbxContent>
              <w:p>
                <w:pPr>
                  <w:spacing w:before="14"/>
                  <w:ind w:left="20" w:right="0" w:firstLine="0"/>
                  <w:jc w:val="left"/>
                  <w:rPr>
                    <w:rFonts w:ascii="Arial"/>
                    <w:sz w:val="14"/>
                  </w:rPr>
                </w:pPr>
                <w:r>
                  <w:rPr>
                    <w:rFonts w:ascii="Arial"/>
                    <w:color w:val="EC1651"/>
                    <w:spacing w:val="-4"/>
                    <w:sz w:val="14"/>
                  </w:rPr>
                  <w:t>https://obesity.nutritionalconferenc</w:t>
                </w:r>
              </w:p>
            </w:txbxContent>
          </v:textbox>
          <w10:wrap type="none"/>
        </v:shape>
      </w:pict>
    </w:r>
    <w:r>
      <w:rPr/>
      <w:pict>
        <v:shape style="position:absolute;margin-left:506.830994pt;margin-top:819.970337pt;width:36.35pt;height:9.8pt;mso-position-horizontal-relative:page;mso-position-vertical-relative:page;z-index:-15786496" type="#_x0000_t202" filled="false" stroked="false">
          <v:textbox inset="0,0,0,0">
            <w:txbxContent>
              <w:p>
                <w:pPr>
                  <w:spacing w:before="14"/>
                  <w:ind w:left="20" w:right="0" w:firstLine="0"/>
                  <w:jc w:val="left"/>
                  <w:rPr>
                    <w:rFonts w:ascii="Arial"/>
                    <w:sz w:val="14"/>
                  </w:rPr>
                </w:pPr>
                <w:r>
                  <w:rPr>
                    <w:rFonts w:ascii="Arial"/>
                    <w:color w:val="EC1651"/>
                    <w:sz w:val="14"/>
                  </w:rPr>
                  <w:t>Volume</w:t>
                </w:r>
                <w:r>
                  <w:rPr>
                    <w:rFonts w:ascii="Arial"/>
                    <w:color w:val="EC1651"/>
                    <w:spacing w:val="-23"/>
                    <w:sz w:val="14"/>
                  </w:rPr>
                  <w:t> </w:t>
                </w:r>
                <w:r>
                  <w:rPr>
                    <w:rFonts w:ascii="Arial"/>
                    <w:color w:val="EC1651"/>
                    <w:sz w:val="14"/>
                  </w:rPr>
                  <w:t>12,</w:t>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1.3906pt;margin-top:1.391015pt;width:593.9pt;height:100.95pt;mso-position-horizontal-relative:page;mso-position-vertical-relative:page;z-index:-15790080" coordorigin="28,28" coordsize="11878,2019" path="m11906,28l28,28,28,2047,4881,2047,6153,244,11906,244,11906,28xe" filled="true" fillcolor="#ec1651" stroked="false">
          <v:path arrowok="t"/>
          <v:fill type="solid"/>
          <w10:wrap type="none"/>
        </v:shape>
      </w:pict>
    </w:r>
    <w:r>
      <w:rPr/>
      <w:pict>
        <v:shapetype id="_x0000_t202" o:spt="202" coordsize="21600,21600" path="m,l,21600r21600,l21600,xe">
          <v:stroke joinstyle="miter"/>
          <v:path gradientshapeok="t" o:connecttype="rect"/>
        </v:shapetype>
        <v:shape style="position:absolute;margin-left:35.9506pt;margin-top:25.555546pt;width:176.7pt;height:63.3pt;mso-position-horizontal-relative:page;mso-position-vertical-relative:page;z-index:-15789568" type="#_x0000_t202" filled="false" stroked="false">
          <v:textbox inset="0,0,0,0">
            <w:txbxContent>
              <w:p>
                <w:pPr>
                  <w:spacing w:line="252" w:lineRule="auto" w:before="119"/>
                  <w:ind w:left="20" w:right="7" w:firstLine="0"/>
                  <w:jc w:val="left"/>
                  <w:rPr>
                    <w:b/>
                    <w:sz w:val="32"/>
                  </w:rPr>
                </w:pPr>
                <w:r>
                  <w:rPr>
                    <w:b/>
                    <w:color w:val="FFFFFF"/>
                    <w:sz w:val="32"/>
                  </w:rPr>
                  <w:t>18</w:t>
                </w:r>
                <w:r>
                  <w:rPr>
                    <w:b/>
                    <w:color w:val="FFFFFF"/>
                    <w:sz w:val="32"/>
                    <w:vertAlign w:val="superscript"/>
                  </w:rPr>
                  <w:t>th</w:t>
                </w:r>
                <w:r>
                  <w:rPr>
                    <w:b/>
                    <w:color w:val="FFFFFF"/>
                    <w:sz w:val="32"/>
                    <w:vertAlign w:val="baseline"/>
                  </w:rPr>
                  <w:t> Euro Obesity and Endocrinology</w:t>
                </w:r>
                <w:r>
                  <w:rPr>
                    <w:b/>
                    <w:color w:val="FFFFFF"/>
                    <w:spacing w:val="-43"/>
                    <w:sz w:val="32"/>
                    <w:vertAlign w:val="baseline"/>
                  </w:rPr>
                  <w:t> </w:t>
                </w:r>
                <w:r>
                  <w:rPr>
                    <w:b/>
                    <w:color w:val="FFFFFF"/>
                    <w:sz w:val="32"/>
                    <w:vertAlign w:val="baseline"/>
                  </w:rPr>
                  <w:t>Congress</w:t>
                </w:r>
              </w:p>
              <w:p>
                <w:pPr>
                  <w:spacing w:before="115"/>
                  <w:ind w:left="20" w:right="0" w:firstLine="0"/>
                  <w:jc w:val="left"/>
                  <w:rPr>
                    <w:rFonts w:ascii="Arial"/>
                    <w:b/>
                    <w:sz w:val="20"/>
                  </w:rPr>
                </w:pPr>
                <w:r>
                  <w:rPr>
                    <w:rFonts w:ascii="Arial"/>
                    <w:b/>
                    <w:color w:val="FFFFFF"/>
                    <w:sz w:val="20"/>
                  </w:rPr>
                  <w:t>June 13-14, 2022 | Madrid, Spain</w:t>
                </w:r>
              </w:p>
            </w:txbxContent>
          </v:textbox>
          <w10:wrap type="none"/>
        </v:shape>
      </w:pict>
    </w:r>
    <w:r>
      <w:rPr/>
      <w:pict>
        <v:shape style="position:absolute;margin-left:390.67099pt;margin-top:29.580351pt;width:171.35pt;height:58.75pt;mso-position-horizontal-relative:page;mso-position-vertical-relative:page;z-index:-15789056" type="#_x0000_t202" filled="false" stroked="false">
          <v:textbox inset="0,0,0,0">
            <w:txbxContent>
              <w:p>
                <w:pPr>
                  <w:spacing w:line="254" w:lineRule="auto" w:before="20"/>
                  <w:ind w:left="20" w:right="9" w:firstLine="28"/>
                  <w:jc w:val="left"/>
                  <w:rPr>
                    <w:b/>
                    <w:sz w:val="35"/>
                  </w:rPr>
                </w:pPr>
                <w:r>
                  <w:rPr>
                    <w:b/>
                    <w:color w:val="EC1651"/>
                    <w:sz w:val="35"/>
                  </w:rPr>
                  <w:t>Journal of Obesity</w:t>
                </w:r>
                <w:r>
                  <w:rPr>
                    <w:b/>
                    <w:color w:val="EC1651"/>
                    <w:spacing w:val="-10"/>
                    <w:sz w:val="35"/>
                  </w:rPr>
                  <w:t> </w:t>
                </w:r>
                <w:r>
                  <w:rPr>
                    <w:b/>
                    <w:color w:val="EC1651"/>
                    <w:sz w:val="35"/>
                  </w:rPr>
                  <w:t>&amp; Weight Loss</w:t>
                </w:r>
                <w:r>
                  <w:rPr>
                    <w:b/>
                    <w:color w:val="EC1651"/>
                    <w:spacing w:val="-19"/>
                    <w:sz w:val="35"/>
                  </w:rPr>
                  <w:t> </w:t>
                </w:r>
                <w:r>
                  <w:rPr>
                    <w:b/>
                    <w:color w:val="EC1651"/>
                    <w:sz w:val="35"/>
                  </w:rPr>
                  <w:t>Therapy</w:t>
                </w:r>
              </w:p>
              <w:p>
                <w:pPr>
                  <w:spacing w:line="273" w:lineRule="exact" w:before="0"/>
                  <w:ind w:left="1723" w:right="0" w:firstLine="0"/>
                  <w:jc w:val="left"/>
                  <w:rPr>
                    <w:rFonts w:ascii="Times New Roman"/>
                    <w:sz w:val="24"/>
                  </w:rPr>
                </w:pPr>
                <w:r>
                  <w:rPr>
                    <w:rFonts w:ascii="Times New Roman"/>
                    <w:color w:val="24408F"/>
                    <w:sz w:val="24"/>
                  </w:rPr>
                  <w:t>ISSN:</w:t>
                </w:r>
                <w:r>
                  <w:rPr>
                    <w:rFonts w:ascii="Times New Roman"/>
                    <w:color w:val="24408F"/>
                    <w:spacing w:val="-11"/>
                    <w:sz w:val="24"/>
                  </w:rPr>
                  <w:t> </w:t>
                </w:r>
                <w:r>
                  <w:rPr>
                    <w:rFonts w:ascii="Times New Roman"/>
                    <w:color w:val="24408F"/>
                    <w:sz w:val="24"/>
                  </w:rPr>
                  <w:t>2165-7904</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689" w:hanging="360"/>
        <w:jc w:val="left"/>
      </w:pPr>
      <w:rPr>
        <w:rFonts w:hint="default" w:ascii="Trebuchet MS" w:hAnsi="Trebuchet MS" w:eastAsia="Trebuchet MS" w:cs="Trebuchet MS"/>
        <w:color w:val="221F1F"/>
        <w:w w:val="101"/>
        <w:sz w:val="18"/>
        <w:szCs w:val="18"/>
        <w:lang w:val="en-US" w:eastAsia="en-US" w:bidi="ar-SA"/>
      </w:rPr>
    </w:lvl>
    <w:lvl w:ilvl="1">
      <w:start w:val="0"/>
      <w:numFmt w:val="bullet"/>
      <w:lvlText w:val="•"/>
      <w:lvlJc w:val="left"/>
      <w:pPr>
        <w:ind w:left="1708" w:hanging="360"/>
      </w:pPr>
      <w:rPr>
        <w:rFonts w:hint="default"/>
        <w:lang w:val="en-US" w:eastAsia="en-US" w:bidi="ar-SA"/>
      </w:rPr>
    </w:lvl>
    <w:lvl w:ilvl="2">
      <w:start w:val="0"/>
      <w:numFmt w:val="bullet"/>
      <w:lvlText w:val="•"/>
      <w:lvlJc w:val="left"/>
      <w:pPr>
        <w:ind w:left="2737" w:hanging="360"/>
      </w:pPr>
      <w:rPr>
        <w:rFonts w:hint="default"/>
        <w:lang w:val="en-US" w:eastAsia="en-US" w:bidi="ar-SA"/>
      </w:rPr>
    </w:lvl>
    <w:lvl w:ilvl="3">
      <w:start w:val="0"/>
      <w:numFmt w:val="bullet"/>
      <w:lvlText w:val="•"/>
      <w:lvlJc w:val="left"/>
      <w:pPr>
        <w:ind w:left="3765" w:hanging="360"/>
      </w:pPr>
      <w:rPr>
        <w:rFonts w:hint="default"/>
        <w:lang w:val="en-US" w:eastAsia="en-US" w:bidi="ar-SA"/>
      </w:rPr>
    </w:lvl>
    <w:lvl w:ilvl="4">
      <w:start w:val="0"/>
      <w:numFmt w:val="bullet"/>
      <w:lvlText w:val="•"/>
      <w:lvlJc w:val="left"/>
      <w:pPr>
        <w:ind w:left="4794" w:hanging="360"/>
      </w:pPr>
      <w:rPr>
        <w:rFonts w:hint="default"/>
        <w:lang w:val="en-US" w:eastAsia="en-US" w:bidi="ar-SA"/>
      </w:rPr>
    </w:lvl>
    <w:lvl w:ilvl="5">
      <w:start w:val="0"/>
      <w:numFmt w:val="bullet"/>
      <w:lvlText w:val="•"/>
      <w:lvlJc w:val="left"/>
      <w:pPr>
        <w:ind w:left="5822" w:hanging="360"/>
      </w:pPr>
      <w:rPr>
        <w:rFonts w:hint="default"/>
        <w:lang w:val="en-US" w:eastAsia="en-US" w:bidi="ar-SA"/>
      </w:rPr>
    </w:lvl>
    <w:lvl w:ilvl="6">
      <w:start w:val="0"/>
      <w:numFmt w:val="bullet"/>
      <w:lvlText w:val="•"/>
      <w:lvlJc w:val="left"/>
      <w:pPr>
        <w:ind w:left="6851" w:hanging="360"/>
      </w:pPr>
      <w:rPr>
        <w:rFonts w:hint="default"/>
        <w:lang w:val="en-US" w:eastAsia="en-US" w:bidi="ar-SA"/>
      </w:rPr>
    </w:lvl>
    <w:lvl w:ilvl="7">
      <w:start w:val="0"/>
      <w:numFmt w:val="bullet"/>
      <w:lvlText w:val="•"/>
      <w:lvlJc w:val="left"/>
      <w:pPr>
        <w:ind w:left="7879" w:hanging="360"/>
      </w:pPr>
      <w:rPr>
        <w:rFonts w:hint="default"/>
        <w:lang w:val="en-US" w:eastAsia="en-US" w:bidi="ar-SA"/>
      </w:rPr>
    </w:lvl>
    <w:lvl w:ilvl="8">
      <w:start w:val="0"/>
      <w:numFmt w:val="bullet"/>
      <w:lvlText w:val="•"/>
      <w:lvlJc w:val="left"/>
      <w:pPr>
        <w:ind w:left="8908" w:hanging="36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n-US" w:eastAsia="en-US" w:bidi="ar-SA"/>
    </w:rPr>
  </w:style>
  <w:style w:styleId="BodyText" w:type="paragraph">
    <w:name w:val="Body Text"/>
    <w:basedOn w:val="Normal"/>
    <w:uiPriority w:val="1"/>
    <w:qFormat/>
    <w:pPr/>
    <w:rPr>
      <w:rFonts w:ascii="Trebuchet MS" w:hAnsi="Trebuchet MS" w:eastAsia="Trebuchet MS" w:cs="Trebuchet MS"/>
      <w:sz w:val="18"/>
      <w:szCs w:val="18"/>
      <w:lang w:val="en-US" w:eastAsia="en-US" w:bidi="ar-SA"/>
    </w:rPr>
  </w:style>
  <w:style w:styleId="Heading1" w:type="paragraph">
    <w:name w:val="Heading 1"/>
    <w:basedOn w:val="Normal"/>
    <w:uiPriority w:val="1"/>
    <w:qFormat/>
    <w:pPr>
      <w:spacing w:before="96"/>
      <w:ind w:left="20"/>
      <w:outlineLvl w:val="1"/>
    </w:pPr>
    <w:rPr>
      <w:rFonts w:ascii="Arial" w:hAnsi="Arial" w:eastAsia="Arial" w:cs="Arial"/>
      <w:b/>
      <w:bCs/>
      <w:sz w:val="32"/>
      <w:szCs w:val="32"/>
      <w:lang w:val="en-US" w:eastAsia="en-US" w:bidi="ar-SA"/>
    </w:rPr>
  </w:style>
  <w:style w:styleId="Heading2" w:type="paragraph">
    <w:name w:val="Heading 2"/>
    <w:basedOn w:val="Normal"/>
    <w:uiPriority w:val="1"/>
    <w:qFormat/>
    <w:pPr>
      <w:ind w:left="209"/>
      <w:outlineLvl w:val="2"/>
    </w:pPr>
    <w:rPr>
      <w:rFonts w:ascii="Trebuchet MS" w:hAnsi="Trebuchet MS" w:eastAsia="Trebuchet MS" w:cs="Trebuchet MS"/>
      <w:b/>
      <w:bCs/>
      <w:sz w:val="24"/>
      <w:szCs w:val="24"/>
      <w:lang w:val="en-US" w:eastAsia="en-US" w:bidi="ar-SA"/>
    </w:rPr>
  </w:style>
  <w:style w:styleId="Title" w:type="paragraph">
    <w:name w:val="Title"/>
    <w:basedOn w:val="Normal"/>
    <w:uiPriority w:val="1"/>
    <w:qFormat/>
    <w:pPr>
      <w:spacing w:before="20"/>
      <w:ind w:left="20" w:right="9" w:firstLine="28"/>
    </w:pPr>
    <w:rPr>
      <w:rFonts w:ascii="Trebuchet MS" w:hAnsi="Trebuchet MS" w:eastAsia="Trebuchet MS" w:cs="Trebuchet MS"/>
      <w:b/>
      <w:bCs/>
      <w:sz w:val="35"/>
      <w:szCs w:val="35"/>
      <w:lang w:val="en-US" w:eastAsia="en-US" w:bidi="ar-SA"/>
    </w:rPr>
  </w:style>
  <w:style w:styleId="ListParagraph" w:type="paragraph">
    <w:name w:val="List Paragraph"/>
    <w:basedOn w:val="Normal"/>
    <w:uiPriority w:val="1"/>
    <w:qFormat/>
    <w:pPr>
      <w:ind w:left="689" w:hanging="360"/>
      <w:jc w:val="both"/>
    </w:pPr>
    <w:rPr>
      <w:rFonts w:ascii="Arial" w:hAnsi="Arial" w:eastAsia="Arial" w:cs="Arial"/>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image" Target="media/image3.jpeg"/><Relationship Id="rId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2022-05-25T05:47:44Z</dcterms:created>
  <dcterms:modified xsi:type="dcterms:W3CDTF">2022-05-25T05:47:44Z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2022-05-25T00:00:00Z</vt:filetime>
  </property>
</Properties>
</file>