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B32" w:rsidRPr="00332B32" w:rsidRDefault="00332B32" w:rsidP="00332B32">
      <w:pPr>
        <w:spacing w:after="100" w:afterAutospacing="1"/>
        <w:ind w:right="288"/>
        <w:jc w:val="both"/>
        <w:rPr>
          <w:rFonts w:ascii="Minion Pro" w:eastAsia="Minion Pro" w:hAnsi="Minion Pro" w:cs="Minion Pro"/>
          <w:b/>
          <w:bCs/>
          <w:color w:val="337AB7"/>
          <w:sz w:val="36"/>
          <w:szCs w:val="36"/>
        </w:rPr>
      </w:pPr>
      <w:r w:rsidRPr="00332B32">
        <w:rPr>
          <w:rFonts w:ascii="Minion Pro" w:eastAsia="Minion Pro" w:hAnsi="Minion Pro" w:cs="Minion Pro"/>
          <w:b/>
          <w:bCs/>
          <w:color w:val="337AB7"/>
          <w:sz w:val="36"/>
          <w:szCs w:val="36"/>
        </w:rPr>
        <w:t xml:space="preserve">Synthesis, Electronic Structure of New </w:t>
      </w:r>
      <w:proofErr w:type="spellStart"/>
      <w:r w:rsidRPr="00332B32">
        <w:rPr>
          <w:rFonts w:ascii="Minion Pro" w:eastAsia="Minion Pro" w:hAnsi="Minion Pro" w:cs="Minion Pro"/>
          <w:b/>
          <w:bCs/>
          <w:color w:val="337AB7"/>
          <w:sz w:val="36"/>
          <w:szCs w:val="36"/>
        </w:rPr>
        <w:t>tetranuclear</w:t>
      </w:r>
      <w:proofErr w:type="spellEnd"/>
      <w:r w:rsidRPr="00332B32">
        <w:rPr>
          <w:rFonts w:ascii="Minion Pro" w:eastAsia="Minion Pro" w:hAnsi="Minion Pro" w:cs="Minion Pro"/>
          <w:b/>
          <w:bCs/>
          <w:color w:val="337AB7"/>
          <w:sz w:val="36"/>
          <w:szCs w:val="36"/>
        </w:rPr>
        <w:t xml:space="preserve"> </w:t>
      </w:r>
      <w:proofErr w:type="spellStart"/>
      <w:r w:rsidRPr="00332B32">
        <w:rPr>
          <w:rFonts w:ascii="Minion Pro" w:eastAsia="Minion Pro" w:hAnsi="Minion Pro" w:cs="Minion Pro"/>
          <w:b/>
          <w:bCs/>
          <w:color w:val="337AB7"/>
          <w:sz w:val="36"/>
          <w:szCs w:val="36"/>
        </w:rPr>
        <w:t>cyclopalladated</w:t>
      </w:r>
      <w:proofErr w:type="spellEnd"/>
      <w:r w:rsidRPr="00332B32">
        <w:rPr>
          <w:rFonts w:ascii="Minion Pro" w:eastAsia="Minion Pro" w:hAnsi="Minion Pro" w:cs="Minion Pro"/>
          <w:b/>
          <w:bCs/>
          <w:color w:val="337AB7"/>
          <w:sz w:val="36"/>
          <w:szCs w:val="36"/>
        </w:rPr>
        <w:t xml:space="preserve"> bearing </w:t>
      </w:r>
      <w:proofErr w:type="spellStart"/>
      <w:r w:rsidRPr="00332B32">
        <w:rPr>
          <w:rFonts w:ascii="Minion Pro" w:eastAsia="Minion Pro" w:hAnsi="Minion Pro" w:cs="Minion Pro"/>
          <w:b/>
          <w:bCs/>
          <w:color w:val="337AB7"/>
          <w:sz w:val="36"/>
          <w:szCs w:val="36"/>
        </w:rPr>
        <w:t>thiosemicarbazone</w:t>
      </w:r>
      <w:proofErr w:type="spellEnd"/>
      <w:r w:rsidRPr="00332B32">
        <w:rPr>
          <w:rFonts w:ascii="Minion Pro" w:eastAsia="Minion Pro" w:hAnsi="Minion Pro" w:cs="Minion Pro"/>
          <w:b/>
          <w:bCs/>
          <w:color w:val="337AB7"/>
          <w:sz w:val="36"/>
          <w:szCs w:val="36"/>
        </w:rPr>
        <w:t xml:space="preserve"> scaffold ligand: DNA/ Serum Protein Binding, COVID-19 and molecular modeling studies</w:t>
      </w:r>
    </w:p>
    <w:p w:rsidR="00332B32" w:rsidRDefault="00332B32" w:rsidP="00332B32">
      <w:pPr>
        <w:pStyle w:val="BodyText"/>
        <w:spacing w:before="73" w:line="198" w:lineRule="exact"/>
        <w:ind w:left="100" w:right="5987"/>
        <w:rPr>
          <w:rFonts w:ascii="Arial"/>
        </w:rPr>
      </w:pPr>
      <w:bookmarkStart w:id="0" w:name="_GoBack"/>
      <w:proofErr w:type="spellStart"/>
      <w:r>
        <w:rPr>
          <w:rFonts w:ascii="Arial"/>
        </w:rPr>
        <w:t>Zohreh</w:t>
      </w:r>
      <w:proofErr w:type="spellEnd"/>
      <w:r>
        <w:rPr>
          <w:rFonts w:ascii="Arial"/>
        </w:rPr>
        <w:t xml:space="preserve"> </w:t>
      </w:r>
      <w:proofErr w:type="spellStart"/>
      <w:r>
        <w:rPr>
          <w:rFonts w:ascii="Arial"/>
        </w:rPr>
        <w:t>Mehri</w:t>
      </w:r>
      <w:proofErr w:type="spellEnd"/>
      <w:r>
        <w:rPr>
          <w:rFonts w:ascii="Arial"/>
        </w:rPr>
        <w:t xml:space="preserve"> </w:t>
      </w:r>
      <w:proofErr w:type="spellStart"/>
      <w:r>
        <w:rPr>
          <w:rFonts w:ascii="Arial"/>
        </w:rPr>
        <w:t>Lighvan</w:t>
      </w:r>
      <w:bookmarkEnd w:id="0"/>
      <w:proofErr w:type="spellEnd"/>
      <w:r w:rsidR="005973B9">
        <w:rPr>
          <w:rFonts w:ascii="Arial"/>
        </w:rPr>
        <w:t xml:space="preserve">, PhD, </w:t>
      </w:r>
      <w:r w:rsidRPr="00332B32">
        <w:rPr>
          <w:rFonts w:ascii="Arial"/>
        </w:rPr>
        <w:t>Department of Polymer Processing, Iran Polymer and Petrochemical Institute</w:t>
      </w:r>
      <w:r w:rsidR="005973B9">
        <w:rPr>
          <w:rFonts w:ascii="Arial"/>
        </w:rPr>
        <w:t xml:space="preserve">, </w:t>
      </w:r>
      <w:r>
        <w:rPr>
          <w:rFonts w:ascii="Arial"/>
        </w:rPr>
        <w:t xml:space="preserve">Iran. </w:t>
      </w:r>
    </w:p>
    <w:p w:rsidR="005973B9" w:rsidRDefault="00332B32" w:rsidP="00332B32">
      <w:pPr>
        <w:pStyle w:val="BodyText"/>
        <w:spacing w:before="73" w:line="198" w:lineRule="exact"/>
        <w:ind w:left="100" w:right="5987"/>
        <w:rPr>
          <w:rFonts w:ascii="Arial"/>
        </w:rPr>
      </w:pPr>
      <w:proofErr w:type="spellStart"/>
      <w:r>
        <w:rPr>
          <w:rFonts w:ascii="Arial"/>
        </w:rPr>
        <w:t>Ro</w:t>
      </w:r>
      <w:r w:rsidR="00DD4023">
        <w:rPr>
          <w:rFonts w:ascii="Arial"/>
        </w:rPr>
        <w:t>u</w:t>
      </w:r>
      <w:r>
        <w:rPr>
          <w:rFonts w:ascii="Arial"/>
        </w:rPr>
        <w:t>h</w:t>
      </w:r>
      <w:r w:rsidR="00DD4023">
        <w:rPr>
          <w:rFonts w:ascii="Arial"/>
        </w:rPr>
        <w:t>o</w:t>
      </w:r>
      <w:r>
        <w:rPr>
          <w:rFonts w:ascii="Arial"/>
        </w:rPr>
        <w:t>llah</w:t>
      </w:r>
      <w:proofErr w:type="spellEnd"/>
      <w:r>
        <w:rPr>
          <w:rFonts w:ascii="Arial"/>
        </w:rPr>
        <w:t xml:space="preserve"> </w:t>
      </w:r>
      <w:proofErr w:type="spellStart"/>
      <w:r>
        <w:rPr>
          <w:rFonts w:ascii="Arial"/>
        </w:rPr>
        <w:t>Daei</w:t>
      </w:r>
      <w:proofErr w:type="spellEnd"/>
      <w:r>
        <w:rPr>
          <w:rFonts w:ascii="Arial"/>
        </w:rPr>
        <w:t xml:space="preserve">, PhD, </w:t>
      </w:r>
      <w:r w:rsidRPr="00332B32">
        <w:rPr>
          <w:rFonts w:ascii="Arial"/>
        </w:rPr>
        <w:t xml:space="preserve">Department of </w:t>
      </w:r>
      <w:r>
        <w:rPr>
          <w:rFonts w:ascii="Arial"/>
        </w:rPr>
        <w:t>Qom, Iran.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DD590C">
      <w:pPr>
        <w:pStyle w:val="Heading3"/>
        <w:spacing w:before="147"/>
        <w:jc w:val="both"/>
      </w:pPr>
      <w:r>
        <w:rPr>
          <w:color w:val="BF5A14"/>
        </w:rPr>
        <w:lastRenderedPageBreak/>
        <w:t>Abstract</w:t>
      </w:r>
      <w:r w:rsidR="00404E5B">
        <w:rPr>
          <w:color w:val="BF5A14"/>
        </w:rPr>
        <w:t xml:space="preserve"> </w:t>
      </w:r>
    </w:p>
    <w:p w:rsidR="00FE6A17" w:rsidRPr="00FE6A17" w:rsidRDefault="00FE6A17" w:rsidP="004E2216">
      <w:pPr>
        <w:spacing w:line="360" w:lineRule="auto"/>
        <w:jc w:val="both"/>
        <w:rPr>
          <w:sz w:val="18"/>
          <w:szCs w:val="18"/>
        </w:rPr>
      </w:pPr>
      <w:r w:rsidRPr="00FE6A17">
        <w:rPr>
          <w:sz w:val="18"/>
          <w:szCs w:val="18"/>
        </w:rPr>
        <w:t>The COVID-19 epidemic has caused in a global health emergency and has spread to 213 countries and is uncontrollable so far. The RNA-dependent RNA polymerase (</w:t>
      </w:r>
      <w:proofErr w:type="spellStart"/>
      <w:r w:rsidRPr="00FE6A17">
        <w:rPr>
          <w:sz w:val="18"/>
          <w:szCs w:val="18"/>
        </w:rPr>
        <w:t>RdRp</w:t>
      </w:r>
      <w:proofErr w:type="spellEnd"/>
      <w:r w:rsidRPr="00FE6A17">
        <w:rPr>
          <w:sz w:val="18"/>
          <w:szCs w:val="18"/>
        </w:rPr>
        <w:t xml:space="preserve">, also named nsp12) is the central component of </w:t>
      </w:r>
      <w:proofErr w:type="spellStart"/>
      <w:r w:rsidRPr="00FE6A17">
        <w:rPr>
          <w:sz w:val="18"/>
          <w:szCs w:val="18"/>
        </w:rPr>
        <w:t>coronaviral</w:t>
      </w:r>
      <w:proofErr w:type="spellEnd"/>
      <w:r w:rsidRPr="00FE6A17">
        <w:rPr>
          <w:sz w:val="18"/>
          <w:szCs w:val="18"/>
        </w:rPr>
        <w:t xml:space="preserve"> replication/transcription machinery and appears to be a primary target for the antiviral drug, </w:t>
      </w:r>
      <w:proofErr w:type="spellStart"/>
      <w:r w:rsidRPr="00FE6A17">
        <w:rPr>
          <w:sz w:val="18"/>
          <w:szCs w:val="18"/>
        </w:rPr>
        <w:t>remdesivir</w:t>
      </w:r>
      <w:proofErr w:type="spellEnd"/>
      <w:r w:rsidRPr="00FE6A17">
        <w:rPr>
          <w:sz w:val="18"/>
          <w:szCs w:val="18"/>
        </w:rPr>
        <w:t xml:space="preserve">. It has been reported that TSCs possess antiviral as well as anti-HIV properties. </w:t>
      </w:r>
      <w:proofErr w:type="spellStart"/>
      <w:r w:rsidRPr="00FE6A17">
        <w:rPr>
          <w:sz w:val="18"/>
          <w:szCs w:val="18"/>
        </w:rPr>
        <w:t>Thiosemicarbazones</w:t>
      </w:r>
      <w:proofErr w:type="spellEnd"/>
      <w:r w:rsidRPr="00FE6A17">
        <w:rPr>
          <w:sz w:val="18"/>
          <w:szCs w:val="18"/>
        </w:rPr>
        <w:t xml:space="preserve"> (TSCs) scaffold as ligands, are an important class of bioactive compounds with a wide range of properties ranging from their use as anticancer agents to antiviral, antimalarial, and </w:t>
      </w:r>
      <w:proofErr w:type="spellStart"/>
      <w:r w:rsidRPr="00FE6A17">
        <w:rPr>
          <w:sz w:val="18"/>
          <w:szCs w:val="18"/>
        </w:rPr>
        <w:t>antiparasitic</w:t>
      </w:r>
      <w:proofErr w:type="spellEnd"/>
      <w:r w:rsidRPr="00FE6A17">
        <w:rPr>
          <w:sz w:val="18"/>
          <w:szCs w:val="18"/>
        </w:rPr>
        <w:t xml:space="preserve"> agents. As part of our on-going research, novel </w:t>
      </w:r>
      <w:proofErr w:type="spellStart"/>
      <w:r w:rsidRPr="00FE6A17">
        <w:rPr>
          <w:sz w:val="18"/>
          <w:szCs w:val="18"/>
        </w:rPr>
        <w:t>thiosemicarbazone</w:t>
      </w:r>
      <w:proofErr w:type="spellEnd"/>
      <w:r w:rsidRPr="00FE6A17">
        <w:rPr>
          <w:sz w:val="18"/>
          <w:szCs w:val="18"/>
        </w:rPr>
        <w:t xml:space="preserve"> scaffold ligand [4-</w:t>
      </w:r>
      <w:r w:rsidR="004E2216">
        <w:rPr>
          <w:sz w:val="18"/>
          <w:szCs w:val="18"/>
        </w:rPr>
        <w:t>OMe</w:t>
      </w:r>
      <w:r w:rsidRPr="00FE6A17">
        <w:rPr>
          <w:sz w:val="18"/>
          <w:szCs w:val="18"/>
        </w:rPr>
        <w:t>C</w:t>
      </w:r>
      <w:r w:rsidRPr="004E2216">
        <w:rPr>
          <w:sz w:val="18"/>
          <w:szCs w:val="18"/>
          <w:vertAlign w:val="subscript"/>
        </w:rPr>
        <w:t>6</w:t>
      </w:r>
      <w:r w:rsidRPr="00FE6A17">
        <w:rPr>
          <w:sz w:val="18"/>
          <w:szCs w:val="18"/>
        </w:rPr>
        <w:t>H</w:t>
      </w:r>
      <w:r w:rsidRPr="004E2216">
        <w:rPr>
          <w:sz w:val="18"/>
          <w:szCs w:val="18"/>
          <w:vertAlign w:val="subscript"/>
        </w:rPr>
        <w:t>4</w:t>
      </w:r>
      <w:r w:rsidRPr="00FE6A17">
        <w:rPr>
          <w:sz w:val="18"/>
          <w:szCs w:val="18"/>
        </w:rPr>
        <w:t>CHN=NC(S)</w:t>
      </w:r>
      <w:proofErr w:type="spellStart"/>
      <w:r w:rsidRPr="00FE6A17">
        <w:rPr>
          <w:sz w:val="18"/>
          <w:szCs w:val="18"/>
        </w:rPr>
        <w:t>NHPh</w:t>
      </w:r>
      <w:proofErr w:type="spellEnd"/>
      <w:r w:rsidRPr="00FE6A17">
        <w:rPr>
          <w:sz w:val="18"/>
          <w:szCs w:val="18"/>
        </w:rPr>
        <w:t xml:space="preserve">] and organometallic </w:t>
      </w:r>
      <w:proofErr w:type="spellStart"/>
      <w:r w:rsidRPr="00FE6A17">
        <w:rPr>
          <w:sz w:val="18"/>
          <w:szCs w:val="18"/>
        </w:rPr>
        <w:t>tetranuclear</w:t>
      </w:r>
      <w:proofErr w:type="spellEnd"/>
      <w:r w:rsidRPr="00FE6A17">
        <w:rPr>
          <w:sz w:val="18"/>
          <w:szCs w:val="18"/>
        </w:rPr>
        <w:t xml:space="preserve"> </w:t>
      </w:r>
      <w:proofErr w:type="spellStart"/>
      <w:r w:rsidRPr="00FE6A17">
        <w:rPr>
          <w:sz w:val="18"/>
          <w:szCs w:val="18"/>
        </w:rPr>
        <w:t>cyclopalladated</w:t>
      </w:r>
      <w:proofErr w:type="spellEnd"/>
      <w:r w:rsidRPr="00FE6A17">
        <w:rPr>
          <w:sz w:val="18"/>
          <w:szCs w:val="18"/>
        </w:rPr>
        <w:t xml:space="preserve"> complex [</w:t>
      </w:r>
      <w:proofErr w:type="spellStart"/>
      <w:r w:rsidRPr="00FE6A17">
        <w:rPr>
          <w:sz w:val="18"/>
          <w:szCs w:val="18"/>
        </w:rPr>
        <w:t>Pd</w:t>
      </w:r>
      <w:proofErr w:type="spellEnd"/>
      <w:r w:rsidRPr="00FE6A17">
        <w:rPr>
          <w:sz w:val="18"/>
          <w:szCs w:val="18"/>
        </w:rPr>
        <w:t>(4-</w:t>
      </w:r>
      <w:r w:rsidR="004E2216">
        <w:rPr>
          <w:sz w:val="18"/>
          <w:szCs w:val="18"/>
        </w:rPr>
        <w:t>OMe</w:t>
      </w:r>
      <w:r w:rsidRPr="00FE6A17">
        <w:rPr>
          <w:sz w:val="18"/>
          <w:szCs w:val="18"/>
        </w:rPr>
        <w:t>C</w:t>
      </w:r>
      <w:r w:rsidRPr="004E2216">
        <w:rPr>
          <w:sz w:val="18"/>
          <w:szCs w:val="18"/>
          <w:vertAlign w:val="subscript"/>
        </w:rPr>
        <w:t>6</w:t>
      </w:r>
      <w:r w:rsidRPr="00FE6A17">
        <w:rPr>
          <w:sz w:val="18"/>
          <w:szCs w:val="18"/>
        </w:rPr>
        <w:t>H</w:t>
      </w:r>
      <w:r w:rsidRPr="004E2216">
        <w:rPr>
          <w:sz w:val="18"/>
          <w:szCs w:val="18"/>
          <w:vertAlign w:val="subscript"/>
        </w:rPr>
        <w:t>4</w:t>
      </w:r>
      <w:r w:rsidRPr="00FE6A17">
        <w:rPr>
          <w:sz w:val="18"/>
          <w:szCs w:val="18"/>
        </w:rPr>
        <w:t>CHN=NC(S)</w:t>
      </w:r>
      <w:proofErr w:type="spellStart"/>
      <w:r w:rsidRPr="00FE6A17">
        <w:rPr>
          <w:sz w:val="18"/>
          <w:szCs w:val="18"/>
        </w:rPr>
        <w:t>NHPh</w:t>
      </w:r>
      <w:proofErr w:type="spellEnd"/>
      <w:r w:rsidRPr="00FE6A17">
        <w:rPr>
          <w:sz w:val="18"/>
          <w:szCs w:val="18"/>
        </w:rPr>
        <w:t>)</w:t>
      </w:r>
      <w:r w:rsidRPr="004E2216">
        <w:rPr>
          <w:sz w:val="18"/>
          <w:szCs w:val="18"/>
          <w:vertAlign w:val="subscript"/>
        </w:rPr>
        <w:t>4]</w:t>
      </w:r>
      <w:r w:rsidRPr="00FE6A17">
        <w:rPr>
          <w:sz w:val="18"/>
          <w:szCs w:val="18"/>
        </w:rPr>
        <w:t xml:space="preserve"> have been synthesized, fully characterized by elemental analysis, 2D NMR, HRMS and IR spectroscopic techniques and their biological activities such as antitumor activity, DNA–protein interactions have been investigated. The interaction of the compounds with calf thymus DNA (CT-DNA) has been explored by UV-Vis spectroscopy, emission titration and helix melting methods, which have revealed these </w:t>
      </w:r>
      <w:proofErr w:type="gramStart"/>
      <w:r w:rsidRPr="00FE6A17">
        <w:rPr>
          <w:sz w:val="18"/>
          <w:szCs w:val="18"/>
        </w:rPr>
        <w:t>compounds</w:t>
      </w:r>
      <w:proofErr w:type="gramEnd"/>
      <w:r w:rsidRPr="00FE6A17">
        <w:rPr>
          <w:sz w:val="18"/>
          <w:szCs w:val="18"/>
        </w:rPr>
        <w:t xml:space="preserve"> interact with DNA through threading </w:t>
      </w:r>
      <w:proofErr w:type="spellStart"/>
      <w:r w:rsidRPr="00FE6A17">
        <w:rPr>
          <w:sz w:val="18"/>
          <w:szCs w:val="18"/>
        </w:rPr>
        <w:t>intercalators</w:t>
      </w:r>
      <w:proofErr w:type="spellEnd"/>
      <w:r w:rsidRPr="00FE6A17">
        <w:rPr>
          <w:sz w:val="18"/>
          <w:szCs w:val="18"/>
        </w:rPr>
        <w:t xml:space="preserve"> mode. Competitive studies with methylene blue (MB) have shown the ability of the compounds to displace the DNA-bound MB, suggesting a competition with MB. Furthermore, the microenvironment and the secondary structure of BSA are changed in the presence of the compounds. Competitive binding using Warfarin, Digoxin and Ibuprofen site markers, which have definite binding sites, demonstrated that the compounds bind to site </w:t>
      </w:r>
      <w:proofErr w:type="gramStart"/>
      <w:r w:rsidRPr="00FE6A17">
        <w:rPr>
          <w:sz w:val="18"/>
          <w:szCs w:val="18"/>
        </w:rPr>
        <w:t>I</w:t>
      </w:r>
      <w:proofErr w:type="gramEnd"/>
      <w:r w:rsidRPr="00FE6A17">
        <w:rPr>
          <w:sz w:val="18"/>
          <w:szCs w:val="18"/>
        </w:rPr>
        <w:t xml:space="preserve"> on BSA. Notably, the compounds exhibit significant in vitro selective cytotoxicity against two human cancer cell lines (JURKAT and SKOV3) with IC50 values varying from 2.4 to 4.7 </w:t>
      </w:r>
      <w:proofErr w:type="spellStart"/>
      <w:r w:rsidRPr="00FE6A17">
        <w:rPr>
          <w:rFonts w:ascii="Calibri" w:hAnsi="Calibri" w:cs="Calibri"/>
          <w:sz w:val="18"/>
          <w:szCs w:val="18"/>
        </w:rPr>
        <w:t>μ</w:t>
      </w:r>
      <w:r w:rsidRPr="00FE6A17">
        <w:rPr>
          <w:sz w:val="18"/>
          <w:szCs w:val="18"/>
        </w:rPr>
        <w:t>M</w:t>
      </w:r>
      <w:proofErr w:type="spellEnd"/>
      <w:r w:rsidRPr="00FE6A17">
        <w:rPr>
          <w:sz w:val="18"/>
          <w:szCs w:val="18"/>
        </w:rPr>
        <w:t>, this indicates that they are more active than cisplatin and showing low cytotoxic activity on normal cells. Finally, the molecular modelling studies have been conducted to determine the binding site of the DNA, BSA and coronavirus interactions with the compounds.</w:t>
      </w:r>
    </w:p>
    <w:p w:rsidR="00AE3E37" w:rsidRDefault="00A9710C">
      <w:pPr>
        <w:pStyle w:val="Heading3"/>
        <w:spacing w:before="74"/>
      </w:pPr>
      <w:r>
        <w:rPr>
          <w:b w:val="0"/>
        </w:rPr>
        <w:br w:type="column"/>
      </w:r>
      <w:r>
        <w:rPr>
          <w:color w:val="BF5A14"/>
        </w:rPr>
        <w:lastRenderedPageBreak/>
        <w:t>Image</w:t>
      </w:r>
    </w:p>
    <w:p w:rsidR="00AE3E37" w:rsidRDefault="004E2216">
      <w:pPr>
        <w:pStyle w:val="BodyText"/>
        <w:spacing w:before="2"/>
        <w:rPr>
          <w:rFonts w:ascii="Arial"/>
          <w:b/>
          <w:sz w:val="16"/>
        </w:rPr>
      </w:pPr>
      <w:r w:rsidRPr="004E2216">
        <w:rPr>
          <w:rFonts w:ascii="Arial"/>
          <w:b/>
          <w:noProof/>
          <w:sz w:val="16"/>
          <w:lang w:val="en-IN" w:eastAsia="en-IN"/>
        </w:rPr>
        <w:drawing>
          <wp:inline distT="0" distB="0" distL="0" distR="0">
            <wp:extent cx="3165475" cy="13838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383816"/>
                    </a:xfrm>
                    <a:prstGeom prst="rect">
                      <a:avLst/>
                    </a:prstGeom>
                    <a:noFill/>
                    <a:ln>
                      <a:noFill/>
                    </a:ln>
                  </pic:spPr>
                </pic:pic>
              </a:graphicData>
            </a:graphic>
          </wp:inline>
        </w:drawing>
      </w:r>
    </w:p>
    <w:p w:rsidR="004E2216" w:rsidRDefault="004E2216">
      <w:pPr>
        <w:pStyle w:val="BodyText"/>
        <w:spacing w:before="2"/>
        <w:rPr>
          <w:rFonts w:ascii="Arial"/>
          <w:b/>
          <w:sz w:val="16"/>
        </w:rPr>
      </w:pPr>
    </w:p>
    <w:p w:rsidR="004E2216" w:rsidRPr="004E2216" w:rsidRDefault="004E2216" w:rsidP="004E2216">
      <w:pPr>
        <w:spacing w:line="276" w:lineRule="auto"/>
        <w:jc w:val="both"/>
        <w:rPr>
          <w:sz w:val="18"/>
          <w:szCs w:val="18"/>
        </w:rPr>
      </w:pPr>
      <w:r w:rsidRPr="004E2216">
        <w:rPr>
          <w:sz w:val="18"/>
          <w:szCs w:val="18"/>
        </w:rPr>
        <w:t xml:space="preserve">Scheme 1. Synthesis of </w:t>
      </w:r>
      <w:proofErr w:type="spellStart"/>
      <w:r w:rsidRPr="004E2216">
        <w:rPr>
          <w:sz w:val="18"/>
          <w:szCs w:val="18"/>
        </w:rPr>
        <w:t>thiosemicarbazone</w:t>
      </w:r>
      <w:proofErr w:type="spellEnd"/>
      <w:r w:rsidRPr="004E2216">
        <w:rPr>
          <w:sz w:val="18"/>
          <w:szCs w:val="18"/>
        </w:rPr>
        <w:t xml:space="preserve"> ligand and </w:t>
      </w:r>
      <w:proofErr w:type="spellStart"/>
      <w:r w:rsidRPr="004E2216">
        <w:rPr>
          <w:sz w:val="18"/>
          <w:szCs w:val="18"/>
        </w:rPr>
        <w:t>tetranuclear</w:t>
      </w:r>
      <w:proofErr w:type="spellEnd"/>
      <w:r w:rsidRPr="004E2216">
        <w:rPr>
          <w:sz w:val="18"/>
          <w:szCs w:val="18"/>
        </w:rPr>
        <w:t xml:space="preserve"> </w:t>
      </w:r>
      <w:proofErr w:type="spellStart"/>
      <w:r w:rsidRPr="004E2216">
        <w:rPr>
          <w:sz w:val="18"/>
          <w:szCs w:val="18"/>
        </w:rPr>
        <w:t>cyclopalladated</w:t>
      </w:r>
      <w:proofErr w:type="spellEnd"/>
      <w:r w:rsidRPr="004E2216">
        <w:rPr>
          <w:sz w:val="18"/>
          <w:szCs w:val="18"/>
        </w:rPr>
        <w:t xml:space="preserve"> complex. Reaction conditions: (</w:t>
      </w:r>
      <w:proofErr w:type="spellStart"/>
      <w:r w:rsidRPr="004E2216">
        <w:rPr>
          <w:sz w:val="18"/>
          <w:szCs w:val="18"/>
        </w:rPr>
        <w:t>i</w:t>
      </w:r>
      <w:proofErr w:type="spellEnd"/>
      <w:r w:rsidRPr="004E2216">
        <w:rPr>
          <w:sz w:val="18"/>
          <w:szCs w:val="18"/>
        </w:rPr>
        <w:t xml:space="preserve">) </w:t>
      </w:r>
      <w:proofErr w:type="spellStart"/>
      <w:r w:rsidRPr="004E2216">
        <w:rPr>
          <w:sz w:val="18"/>
          <w:szCs w:val="18"/>
        </w:rPr>
        <w:t>MeOH</w:t>
      </w:r>
      <w:proofErr w:type="spellEnd"/>
      <w:r w:rsidRPr="004E2216">
        <w:rPr>
          <w:sz w:val="18"/>
          <w:szCs w:val="18"/>
        </w:rPr>
        <w:t xml:space="preserve">, 25 °C, </w:t>
      </w:r>
      <w:r>
        <w:rPr>
          <w:sz w:val="18"/>
          <w:szCs w:val="18"/>
        </w:rPr>
        <w:t>24</w:t>
      </w:r>
      <w:r w:rsidRPr="004E2216">
        <w:rPr>
          <w:sz w:val="18"/>
          <w:szCs w:val="18"/>
        </w:rPr>
        <w:t xml:space="preserve"> h; (ii) K</w:t>
      </w:r>
      <w:r w:rsidRPr="004E2216">
        <w:rPr>
          <w:sz w:val="18"/>
          <w:szCs w:val="18"/>
          <w:vertAlign w:val="subscript"/>
        </w:rPr>
        <w:t>2</w:t>
      </w:r>
      <w:r w:rsidRPr="004E2216">
        <w:rPr>
          <w:sz w:val="18"/>
          <w:szCs w:val="18"/>
        </w:rPr>
        <w:t>[PtCl</w:t>
      </w:r>
      <w:r w:rsidRPr="004E2216">
        <w:rPr>
          <w:sz w:val="18"/>
          <w:szCs w:val="18"/>
          <w:vertAlign w:val="subscript"/>
        </w:rPr>
        <w:t>4</w:t>
      </w:r>
      <w:r w:rsidRPr="004E2216">
        <w:rPr>
          <w:sz w:val="18"/>
          <w:szCs w:val="18"/>
        </w:rPr>
        <w:t>], EtOH-H</w:t>
      </w:r>
      <w:r w:rsidRPr="004E2216">
        <w:rPr>
          <w:sz w:val="18"/>
          <w:szCs w:val="18"/>
          <w:vertAlign w:val="subscript"/>
        </w:rPr>
        <w:t>2</w:t>
      </w:r>
      <w:r w:rsidRPr="004E2216">
        <w:rPr>
          <w:sz w:val="18"/>
          <w:szCs w:val="18"/>
        </w:rPr>
        <w:t>O, 40 °C, 4 days</w:t>
      </w:r>
    </w:p>
    <w:p w:rsidR="004E2216" w:rsidRDefault="004E2216">
      <w:pPr>
        <w:pStyle w:val="BodyText"/>
        <w:spacing w:before="2"/>
        <w:rPr>
          <w:rFonts w:ascii="Arial"/>
          <w:b/>
          <w:sz w:val="16"/>
        </w:rPr>
      </w:pPr>
    </w:p>
    <w:p w:rsidR="005973B9" w:rsidRDefault="005973B9" w:rsidP="00525E18">
      <w:pPr>
        <w:spacing w:line="204" w:lineRule="exact"/>
        <w:rPr>
          <w:rFonts w:ascii="Arial"/>
          <w:b/>
          <w:sz w:val="20"/>
        </w:rPr>
      </w:pPr>
      <w:r>
        <w:rPr>
          <w:rFonts w:ascii="Arial"/>
          <w:b/>
          <w:color w:val="BF5A14"/>
          <w:sz w:val="20"/>
        </w:rPr>
        <w:br/>
      </w:r>
      <w:r w:rsidR="00525E18">
        <w:rPr>
          <w:rFonts w:ascii="Arial"/>
          <w:b/>
          <w:color w:val="BF5A14"/>
          <w:sz w:val="20"/>
        </w:rPr>
        <w:t xml:space="preserve">    </w:t>
      </w:r>
      <w:r>
        <w:rPr>
          <w:rFonts w:ascii="Arial"/>
          <w:b/>
          <w:color w:val="BF5A14"/>
          <w:sz w:val="20"/>
        </w:rPr>
        <w:t xml:space="preserve">Recent Publications </w:t>
      </w:r>
    </w:p>
    <w:p w:rsidR="00DD5597" w:rsidRPr="00DD5597" w:rsidRDefault="00DD5597" w:rsidP="005973B9">
      <w:pPr>
        <w:pStyle w:val="ListParagraph"/>
        <w:numPr>
          <w:ilvl w:val="0"/>
          <w:numId w:val="3"/>
        </w:numPr>
        <w:tabs>
          <w:tab w:val="left" w:pos="384"/>
        </w:tabs>
        <w:spacing w:line="216" w:lineRule="exact"/>
        <w:ind w:right="137" w:hanging="283"/>
        <w:rPr>
          <w:sz w:val="18"/>
        </w:rPr>
      </w:pPr>
      <w:r w:rsidRPr="00DD5597">
        <w:rPr>
          <w:sz w:val="18"/>
        </w:rPr>
        <w:t xml:space="preserve">A. G. Quiroga, J. M. Pérez, E. I. Montero, J. R. Masaguer, C. Alonso and C. Navarro-Ranninger, J. Inorg. </w:t>
      </w:r>
      <w:proofErr w:type="gramStart"/>
      <w:r w:rsidRPr="00DD5597">
        <w:rPr>
          <w:sz w:val="18"/>
        </w:rPr>
        <w:t>Biochem.,</w:t>
      </w:r>
      <w:proofErr w:type="gramEnd"/>
      <w:r w:rsidRPr="00DD5597">
        <w:rPr>
          <w:sz w:val="18"/>
        </w:rPr>
        <w:t xml:space="preserve"> 1998, 70, 117–123.</w:t>
      </w:r>
    </w:p>
    <w:p w:rsidR="00DD5597" w:rsidRPr="00DD5597" w:rsidRDefault="00DD5597" w:rsidP="00DD5597">
      <w:pPr>
        <w:pStyle w:val="ListParagraph"/>
        <w:numPr>
          <w:ilvl w:val="0"/>
          <w:numId w:val="3"/>
        </w:numPr>
        <w:autoSpaceDE w:val="0"/>
        <w:autoSpaceDN w:val="0"/>
        <w:adjustRightInd w:val="0"/>
        <w:spacing w:line="240" w:lineRule="auto"/>
        <w:rPr>
          <w:sz w:val="18"/>
        </w:rPr>
      </w:pPr>
      <w:r w:rsidRPr="00DD5597">
        <w:rPr>
          <w:sz w:val="18"/>
        </w:rPr>
        <w:t>L. Zhang and R. Zhou, .2020. DOI: 10.1021/acs.jpcb.0c04198</w:t>
      </w:r>
    </w:p>
    <w:p w:rsidR="00DD5597" w:rsidRPr="00DD5597" w:rsidRDefault="00DD5597" w:rsidP="00DD5597">
      <w:pPr>
        <w:pStyle w:val="ListParagraph"/>
        <w:numPr>
          <w:ilvl w:val="0"/>
          <w:numId w:val="3"/>
        </w:numPr>
        <w:autoSpaceDE w:val="0"/>
        <w:autoSpaceDN w:val="0"/>
        <w:adjustRightInd w:val="0"/>
        <w:spacing w:line="240" w:lineRule="auto"/>
        <w:rPr>
          <w:sz w:val="18"/>
        </w:rPr>
      </w:pPr>
      <w:r w:rsidRPr="00DD5597">
        <w:rPr>
          <w:sz w:val="18"/>
        </w:rPr>
        <w:t xml:space="preserve">T. R. </w:t>
      </w:r>
      <w:proofErr w:type="gramStart"/>
      <w:r w:rsidRPr="00DD5597">
        <w:rPr>
          <w:sz w:val="18"/>
        </w:rPr>
        <w:t>Bal</w:t>
      </w:r>
      <w:proofErr w:type="gramEnd"/>
      <w:r w:rsidRPr="00DD5597">
        <w:rPr>
          <w:sz w:val="18"/>
        </w:rPr>
        <w:t>, B. Anand, P. Yogeeswari and D. Sriram, Bioorg. Med. Chem. Lett., 2005, 15, 4451–4455.</w:t>
      </w:r>
    </w:p>
    <w:p w:rsidR="00DD5597" w:rsidRPr="00DD5597" w:rsidRDefault="00DD5597" w:rsidP="00DD5597">
      <w:pPr>
        <w:pStyle w:val="ListParagraph"/>
        <w:numPr>
          <w:ilvl w:val="0"/>
          <w:numId w:val="3"/>
        </w:numPr>
        <w:autoSpaceDE w:val="0"/>
        <w:autoSpaceDN w:val="0"/>
        <w:adjustRightInd w:val="0"/>
        <w:spacing w:line="240" w:lineRule="auto"/>
        <w:rPr>
          <w:sz w:val="18"/>
        </w:rPr>
      </w:pPr>
      <w:r w:rsidRPr="00DD5597">
        <w:rPr>
          <w:sz w:val="18"/>
        </w:rPr>
        <w:t>Z. M. Lighvan, H. A. Khonakdar, A. Heydari, M. Rafiee, M. D. Jahromi, A. Derakhshani and A. A. Momtazi‐Borojeni, Appl. Organomet. Chem., 2020, e5839.</w:t>
      </w:r>
    </w:p>
    <w:p w:rsidR="00DD5597" w:rsidRPr="00DD5597" w:rsidRDefault="00DD5597" w:rsidP="00DD5597">
      <w:pPr>
        <w:pStyle w:val="ListParagraph"/>
        <w:numPr>
          <w:ilvl w:val="0"/>
          <w:numId w:val="3"/>
        </w:numPr>
        <w:autoSpaceDE w:val="0"/>
        <w:autoSpaceDN w:val="0"/>
        <w:adjustRightInd w:val="0"/>
        <w:spacing w:line="240" w:lineRule="auto"/>
        <w:rPr>
          <w:sz w:val="18"/>
        </w:rPr>
      </w:pPr>
      <w:r w:rsidRPr="00DD5597">
        <w:rPr>
          <w:sz w:val="18"/>
        </w:rPr>
        <w:t>K. Karami, M. Rafiee, Z. M. Lighvan, M. Zakariazadeh, A. Y. Faal, S.-A. Esmaeili and A. A. Momtazi-Borojeni, J. Mol. Struct., 2018, 1154, 480–495.</w:t>
      </w:r>
    </w:p>
    <w:p w:rsidR="006735CD" w:rsidRPr="006735CD" w:rsidRDefault="006735CD" w:rsidP="006735CD">
      <w:pPr>
        <w:pStyle w:val="ListParagraph"/>
        <w:numPr>
          <w:ilvl w:val="0"/>
          <w:numId w:val="3"/>
        </w:numPr>
        <w:autoSpaceDE w:val="0"/>
        <w:autoSpaceDN w:val="0"/>
        <w:adjustRightInd w:val="0"/>
        <w:spacing w:line="240" w:lineRule="auto"/>
        <w:rPr>
          <w:sz w:val="18"/>
        </w:rPr>
      </w:pPr>
      <w:r w:rsidRPr="006735CD">
        <w:rPr>
          <w:sz w:val="18"/>
        </w:rPr>
        <w:t>E. J. Siddiqui, I. Azad, A. R. Khan and T. Khan, J. Drug Deliv. Ther., 2019, 9, 689–703.</w:t>
      </w:r>
    </w:p>
    <w:p w:rsidR="006735CD" w:rsidRPr="006735CD" w:rsidRDefault="006735CD" w:rsidP="006735CD">
      <w:pPr>
        <w:pStyle w:val="ListParagraph"/>
        <w:numPr>
          <w:ilvl w:val="0"/>
          <w:numId w:val="3"/>
        </w:numPr>
        <w:autoSpaceDE w:val="0"/>
        <w:autoSpaceDN w:val="0"/>
        <w:adjustRightInd w:val="0"/>
        <w:spacing w:line="240" w:lineRule="auto"/>
        <w:rPr>
          <w:sz w:val="18"/>
        </w:rPr>
      </w:pPr>
      <w:r w:rsidRPr="006735CD">
        <w:rPr>
          <w:sz w:val="18"/>
        </w:rPr>
        <w:t>P. Genova, T. Varadinova, A. I. Matesanz, D. Marinova and P. Souza, Toxicol. Appl. Pharmacol., 2004, 197, 107–112.</w:t>
      </w:r>
    </w:p>
    <w:p w:rsidR="006735CD" w:rsidRPr="006735CD" w:rsidRDefault="006735CD" w:rsidP="006735CD">
      <w:pPr>
        <w:pStyle w:val="ListParagraph"/>
        <w:numPr>
          <w:ilvl w:val="0"/>
          <w:numId w:val="3"/>
        </w:numPr>
        <w:autoSpaceDE w:val="0"/>
        <w:autoSpaceDN w:val="0"/>
        <w:adjustRightInd w:val="0"/>
        <w:spacing w:line="240" w:lineRule="auto"/>
        <w:rPr>
          <w:sz w:val="18"/>
        </w:rPr>
      </w:pPr>
      <w:r w:rsidRPr="006735CD">
        <w:rPr>
          <w:sz w:val="18"/>
        </w:rPr>
        <w:t>S. A. Khan and M. Yusuf, Eur. J. Med. Chem., 2009, 44, 2270–2274.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65E23A6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DD4023">
      <w:pPr>
        <w:spacing w:before="92"/>
        <w:ind w:right="4234"/>
        <w:rPr>
          <w:rFonts w:ascii="Arial"/>
        </w:rPr>
      </w:pPr>
      <w:r>
        <w:rPr>
          <w:rFonts w:ascii="Times New Roman" w:hAnsi="Times New Roman" w:cs="Times New Roman"/>
          <w:noProof/>
          <w:sz w:val="24"/>
          <w:szCs w:val="24"/>
          <w:lang w:val="en-IN" w:eastAsia="en-IN"/>
        </w:rPr>
        <w:lastRenderedPageBreak/>
        <mc:AlternateContent>
          <mc:Choice Requires="wps">
            <w:drawing>
              <wp:anchor distT="0" distB="0" distL="114300" distR="114300" simplePos="0" relativeHeight="251660288" behindDoc="0" locked="0" layoutInCell="1" allowOverlap="1" wp14:anchorId="0BA6DCA3" wp14:editId="1B6B0354">
                <wp:simplePos x="0" y="0"/>
                <wp:positionH relativeFrom="margin">
                  <wp:align>right</wp:align>
                </wp:positionH>
                <wp:positionV relativeFrom="paragraph">
                  <wp:posOffset>26544</wp:posOffset>
                </wp:positionV>
                <wp:extent cx="1572412" cy="1258214"/>
                <wp:effectExtent l="19050" t="19050" r="27940" b="1841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2412" cy="1258214"/>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274972" w:rsidP="00274972">
                            <w:pPr>
                              <w:rPr>
                                <w:b/>
                                <w:color w:val="0000FF"/>
                                <w:lang w:val="en-IN"/>
                              </w:rPr>
                            </w:pPr>
                            <w:r w:rsidRPr="00274972">
                              <w:rPr>
                                <w:b/>
                                <w:noProof/>
                                <w:color w:val="0000FF"/>
                                <w:lang w:val="en-IN" w:eastAsia="en-IN"/>
                              </w:rPr>
                              <w:drawing>
                                <wp:inline distT="0" distB="0" distL="0" distR="0">
                                  <wp:extent cx="1228953" cy="1126249"/>
                                  <wp:effectExtent l="0" t="0" r="0" b="0"/>
                                  <wp:docPr id="6" name="Picture 6" descr="C:\Users\Sony\Desktop\ippi_4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ny\Desktop\ippi_45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5713" cy="113244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0BA6DCA3" id="Rounded Rectangle 2" o:spid="_x0000_s1026" style="position:absolute;margin-left:72.6pt;margin-top:2.1pt;width:123.8pt;height:99.0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" strokecolor="#9bbb59" strokeweight="2.5pt">
                <v:shadow color="#868686"/>
                <v:textbox>
                  <w:txbxContent>
                    <w:p w:rsidR="00A52075" w:rsidRDefault="00274972" w:rsidP="00274972">
                      <w:pPr>
                        <w:rPr>
                          <w:b/>
                          <w:color w:val="0000FF"/>
                          <w:lang w:val="en-IN"/>
                        </w:rPr>
                      </w:pPr>
                      <w:r w:rsidRPr="00274972">
                        <w:rPr>
                          <w:b/>
                          <w:noProof/>
                          <w:color w:val="0000FF"/>
                        </w:rPr>
                        <w:drawing>
                          <wp:inline distT="0" distB="0" distL="0" distR="0">
                            <wp:extent cx="1228953" cy="1126249"/>
                            <wp:effectExtent l="0" t="0" r="0" b="0"/>
                            <wp:docPr id="6" name="Picture 6" descr="C:\Users\Sony\Desktop\ippi_4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ny\Desktop\ippi_45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5713" cy="1132444"/>
                                    </a:xfrm>
                                    <a:prstGeom prst="rect">
                                      <a:avLst/>
                                    </a:prstGeom>
                                    <a:noFill/>
                                    <a:ln>
                                      <a:noFill/>
                                    </a:ln>
                                  </pic:spPr>
                                </pic:pic>
                              </a:graphicData>
                            </a:graphic>
                          </wp:inline>
                        </w:drawing>
                      </w:r>
                    </w:p>
                  </w:txbxContent>
                </v:textbox>
                <w10:wrap anchorx="margin"/>
              </v:roundrect>
            </w:pict>
          </mc:Fallback>
        </mc:AlternateContent>
      </w:r>
      <w:r w:rsidR="008756E6">
        <w:rPr>
          <w:noProof/>
        </w:rPr>
        <w:t xml:space="preserve">              </w:t>
      </w:r>
      <w:r w:rsidR="0085345A" w:rsidRPr="0085345A">
        <w:rPr>
          <w:noProof/>
          <w:lang w:val="en-IN" w:eastAsia="en-IN"/>
        </w:rPr>
        <w:drawing>
          <wp:inline distT="0" distB="0" distL="0" distR="0">
            <wp:extent cx="1016812" cy="1623695"/>
            <wp:effectExtent l="0" t="0" r="0" b="0"/>
            <wp:docPr id="4" name="Picture 4" descr="C:\Users\Sony\AppData\Local\Temp\IMG_1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ny\AppData\Local\Temp\IMG_115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5471" cy="1717365"/>
                    </a:xfrm>
                    <a:prstGeom prst="rect">
                      <a:avLst/>
                    </a:prstGeom>
                    <a:noFill/>
                    <a:ln>
                      <a:noFill/>
                    </a:ln>
                  </pic:spPr>
                </pic:pic>
              </a:graphicData>
            </a:graphic>
          </wp:inline>
        </w:drawing>
      </w:r>
      <w:r w:rsidRPr="00A52075">
        <w:rPr>
          <w:rFonts w:ascii="Times New Roman" w:hAnsi="Times New Roman" w:cs="Times New Roman"/>
          <w:sz w:val="24"/>
          <w:szCs w:val="24"/>
        </w:rPr>
        <w:t xml:space="preserve"> </w:t>
      </w:r>
    </w:p>
    <w:p w:rsidR="00DD4023" w:rsidRDefault="00DD4023" w:rsidP="003560FF">
      <w:pPr>
        <w:pStyle w:val="BodyText"/>
        <w:spacing w:before="7"/>
        <w:jc w:val="both"/>
        <w:rPr>
          <w:rFonts w:ascii="Arial"/>
          <w:sz w:val="14"/>
        </w:rPr>
      </w:pPr>
    </w:p>
    <w:p w:rsidR="003560FF" w:rsidRDefault="003560FF" w:rsidP="004B5135">
      <w:pPr>
        <w:pStyle w:val="BodyText"/>
        <w:spacing w:before="7"/>
        <w:jc w:val="both"/>
        <w:rPr>
          <w:rFonts w:ascii="Arial"/>
          <w:sz w:val="14"/>
        </w:rPr>
      </w:pPr>
      <w:proofErr w:type="spellStart"/>
      <w:r>
        <w:rPr>
          <w:rFonts w:ascii="Arial"/>
          <w:sz w:val="14"/>
        </w:rPr>
        <w:t>Zohreh</w:t>
      </w:r>
      <w:proofErr w:type="spellEnd"/>
      <w:r>
        <w:rPr>
          <w:rFonts w:ascii="Arial"/>
          <w:sz w:val="14"/>
        </w:rPr>
        <w:t xml:space="preserve"> </w:t>
      </w:r>
      <w:proofErr w:type="spellStart"/>
      <w:r>
        <w:rPr>
          <w:rFonts w:ascii="Arial"/>
          <w:sz w:val="14"/>
        </w:rPr>
        <w:t>Mehri</w:t>
      </w:r>
      <w:proofErr w:type="spellEnd"/>
      <w:r>
        <w:rPr>
          <w:rFonts w:ascii="Arial"/>
          <w:sz w:val="14"/>
        </w:rPr>
        <w:t xml:space="preserve"> </w:t>
      </w:r>
      <w:proofErr w:type="spellStart"/>
      <w:r>
        <w:rPr>
          <w:rFonts w:ascii="Arial"/>
          <w:sz w:val="14"/>
        </w:rPr>
        <w:t>Lighvan</w:t>
      </w:r>
      <w:proofErr w:type="spellEnd"/>
      <w:r>
        <w:rPr>
          <w:rFonts w:ascii="Arial"/>
          <w:sz w:val="14"/>
        </w:rPr>
        <w:t xml:space="preserve"> has her expertise in </w:t>
      </w:r>
      <w:r w:rsidRPr="0085345A">
        <w:rPr>
          <w:rFonts w:ascii="Arial"/>
          <w:sz w:val="14"/>
        </w:rPr>
        <w:t xml:space="preserve">synthesis on organometallic palladium amine </w:t>
      </w:r>
      <w:proofErr w:type="spellStart"/>
      <w:r w:rsidRPr="0085345A">
        <w:rPr>
          <w:rFonts w:ascii="Arial"/>
          <w:sz w:val="14"/>
        </w:rPr>
        <w:t>metallacycles</w:t>
      </w:r>
      <w:proofErr w:type="spellEnd"/>
      <w:r w:rsidRPr="0085345A">
        <w:rPr>
          <w:rFonts w:ascii="Arial"/>
          <w:sz w:val="14"/>
        </w:rPr>
        <w:t xml:space="preserve"> and cluster oxime palladium complexes and their biological evaluation and </w:t>
      </w:r>
      <w:proofErr w:type="spellStart"/>
      <w:r w:rsidRPr="0085345A">
        <w:rPr>
          <w:rFonts w:ascii="Arial"/>
          <w:sz w:val="14"/>
        </w:rPr>
        <w:t>nano</w:t>
      </w:r>
      <w:proofErr w:type="spellEnd"/>
      <w:r w:rsidRPr="0085345A">
        <w:rPr>
          <w:rFonts w:ascii="Arial"/>
          <w:sz w:val="14"/>
        </w:rPr>
        <w:t>-drug delivery.</w:t>
      </w:r>
      <w:r>
        <w:rPr>
          <w:rFonts w:ascii="Arial"/>
          <w:sz w:val="14"/>
        </w:rPr>
        <w:t xml:space="preserve"> </w:t>
      </w:r>
      <w:r w:rsidRPr="00893A8A">
        <w:rPr>
          <w:rFonts w:ascii="Arial"/>
          <w:sz w:val="14"/>
        </w:rPr>
        <w:t>She has been researching and studying the synthesis of organometallic compounds and the biological study of these compounds in the treatment of breast and gastric cancers for more than 10 years.</w:t>
      </w:r>
      <w:r>
        <w:rPr>
          <w:rFonts w:ascii="Arial" w:hint="cs"/>
          <w:sz w:val="14"/>
          <w:rtl/>
        </w:rPr>
        <w:t xml:space="preserve"> </w:t>
      </w:r>
      <w:r w:rsidRPr="00740D62">
        <w:rPr>
          <w:rFonts w:ascii="Arial"/>
          <w:sz w:val="14"/>
        </w:rPr>
        <w:t xml:space="preserve">During the Corona Pandemic, she began research into organometallic compounds and the efficacy of </w:t>
      </w:r>
      <w:proofErr w:type="spellStart"/>
      <w:r w:rsidR="004B5135">
        <w:rPr>
          <w:rFonts w:ascii="Arial"/>
          <w:sz w:val="14"/>
        </w:rPr>
        <w:t>t</w:t>
      </w:r>
      <w:r w:rsidR="004B5135" w:rsidRPr="004B5135">
        <w:rPr>
          <w:rFonts w:ascii="Arial"/>
          <w:sz w:val="14"/>
        </w:rPr>
        <w:t>hiosemicarbazones</w:t>
      </w:r>
      <w:proofErr w:type="spellEnd"/>
      <w:r w:rsidR="004B5135" w:rsidRPr="004B5135">
        <w:rPr>
          <w:rFonts w:ascii="Arial"/>
          <w:sz w:val="14"/>
        </w:rPr>
        <w:t xml:space="preserve"> (TSCs) ligands</w:t>
      </w:r>
      <w:r w:rsidR="004B5135" w:rsidRPr="00740D62">
        <w:rPr>
          <w:rFonts w:ascii="Arial"/>
          <w:sz w:val="14"/>
        </w:rPr>
        <w:t xml:space="preserve"> </w:t>
      </w:r>
      <w:r w:rsidRPr="00740D62">
        <w:rPr>
          <w:rFonts w:ascii="Arial"/>
          <w:sz w:val="14"/>
        </w:rPr>
        <w:t>against the Corona virus.</w:t>
      </w:r>
    </w:p>
    <w:p w:rsidR="00AE3E37" w:rsidRDefault="00A9710C" w:rsidP="00CC5EC5">
      <w:pPr>
        <w:spacing w:before="62"/>
        <w:ind w:left="4217" w:right="4235"/>
        <w:jc w:val="center"/>
        <w:rPr>
          <w:rFonts w:ascii="Arial"/>
          <w:sz w:val="14"/>
        </w:rPr>
      </w:pPr>
      <w:r>
        <w:rPr>
          <w:rFonts w:ascii="Arial"/>
          <w:sz w:val="14"/>
        </w:rPr>
        <w:t>Email:</w:t>
      </w:r>
      <w:r w:rsidR="00B210B6">
        <w:rPr>
          <w:rFonts w:ascii="Arial"/>
          <w:sz w:val="14"/>
        </w:rPr>
        <w:t xml:space="preserve"> </w:t>
      </w:r>
      <w:r w:rsidR="00CC5EC5">
        <w:t>z.mehri@ippi.ac.ir</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21EEFA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ED6DB6" w:rsidRDefault="00ED6DB6">
      <w:pPr>
        <w:pStyle w:val="BodyText"/>
        <w:rPr>
          <w:rFonts w:ascii="Arial"/>
          <w:sz w:val="20"/>
        </w:rPr>
      </w:pPr>
    </w:p>
    <w:p w:rsidR="00AE3E37" w:rsidRDefault="00AE3E37">
      <w:pPr>
        <w:pStyle w:val="BodyText"/>
        <w:rPr>
          <w:rFonts w:ascii="Arial"/>
          <w:sz w:val="20"/>
        </w:rPr>
      </w:pPr>
    </w:p>
    <w:p w:rsidR="00740D62" w:rsidRDefault="00740D62" w:rsidP="00740D62">
      <w:pPr>
        <w:pStyle w:val="BodyText"/>
        <w:spacing w:before="7"/>
        <w:jc w:val="both"/>
        <w:rPr>
          <w:rFonts w:ascii="Arial"/>
          <w:sz w:val="14"/>
        </w:rPr>
      </w:pPr>
    </w:p>
    <w:p w:rsidR="00AE3E37" w:rsidRDefault="00A9710C" w:rsidP="00740D62">
      <w:pPr>
        <w:pStyle w:val="BodyText"/>
        <w:spacing w:before="7"/>
        <w:jc w:val="both"/>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CC5EC5">
        <w:rPr>
          <w:sz w:val="20"/>
          <w:szCs w:val="20"/>
          <w:lang w:val="en-NZ"/>
        </w:rPr>
        <w:t>Zohreh</w:t>
      </w:r>
      <w:proofErr w:type="spellEnd"/>
      <w:r w:rsidR="00CC5EC5">
        <w:rPr>
          <w:sz w:val="20"/>
          <w:szCs w:val="20"/>
          <w:lang w:val="en-NZ"/>
        </w:rPr>
        <w:t xml:space="preserve"> </w:t>
      </w:r>
      <w:proofErr w:type="spellStart"/>
      <w:r w:rsidR="00CC5EC5">
        <w:rPr>
          <w:sz w:val="20"/>
          <w:szCs w:val="20"/>
          <w:lang w:val="en-NZ"/>
        </w:rPr>
        <w:t>Mehri</w:t>
      </w:r>
      <w:proofErr w:type="spellEnd"/>
      <w:r w:rsidR="00CC5EC5">
        <w:rPr>
          <w:sz w:val="20"/>
          <w:szCs w:val="20"/>
          <w:lang w:val="en-NZ"/>
        </w:rPr>
        <w:t xml:space="preserve"> </w:t>
      </w:r>
      <w:proofErr w:type="spellStart"/>
      <w:r w:rsidR="00CC5EC5">
        <w:rPr>
          <w:sz w:val="20"/>
          <w:szCs w:val="20"/>
          <w:lang w:val="en-NZ"/>
        </w:rPr>
        <w:t>Lighvan</w:t>
      </w:r>
      <w:proofErr w:type="spellEnd"/>
      <w:r w:rsidRPr="00F35A62">
        <w:rPr>
          <w:sz w:val="20"/>
          <w:szCs w:val="20"/>
          <w:lang w:val="en-NZ"/>
        </w:rPr>
        <w:br/>
        <w:t>Contact number:</w:t>
      </w:r>
      <w:r w:rsidR="00CC5EC5">
        <w:rPr>
          <w:sz w:val="20"/>
          <w:szCs w:val="20"/>
          <w:lang w:val="en-NZ"/>
        </w:rPr>
        <w:t xml:space="preserve"> 00989126520249</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r w:rsidR="00CC5EC5">
        <w:rPr>
          <w:sz w:val="20"/>
          <w:szCs w:val="20"/>
          <w:lang w:val="en-NZ"/>
        </w:rPr>
        <w:t xml:space="preserve"> </w:t>
      </w:r>
      <w:proofErr w:type="spellStart"/>
      <w:r w:rsidR="00CC5EC5">
        <w:rPr>
          <w:sz w:val="20"/>
          <w:szCs w:val="20"/>
          <w:lang w:val="en-NZ"/>
        </w:rPr>
        <w:t>Zohreh</w:t>
      </w:r>
      <w:proofErr w:type="spellEnd"/>
      <w:r w:rsidR="00CC5EC5">
        <w:rPr>
          <w:sz w:val="20"/>
          <w:szCs w:val="20"/>
          <w:lang w:val="en-NZ"/>
        </w:rPr>
        <w:t xml:space="preserve"> </w:t>
      </w:r>
      <w:proofErr w:type="spellStart"/>
      <w:r w:rsidR="00CC5EC5">
        <w:rPr>
          <w:sz w:val="20"/>
          <w:szCs w:val="20"/>
          <w:lang w:val="en-NZ"/>
        </w:rPr>
        <w:t>Mehri</w:t>
      </w:r>
      <w:proofErr w:type="spellEnd"/>
      <w:r w:rsidR="00CC5EC5">
        <w:rPr>
          <w:sz w:val="20"/>
          <w:szCs w:val="20"/>
          <w:lang w:val="en-NZ"/>
        </w:rPr>
        <w:t xml:space="preserve"> </w:t>
      </w:r>
      <w:proofErr w:type="spellStart"/>
      <w:r w:rsidR="00CC5EC5">
        <w:rPr>
          <w:sz w:val="20"/>
          <w:szCs w:val="20"/>
          <w:lang w:val="en-NZ"/>
        </w:rPr>
        <w:t>Lighvan</w:t>
      </w:r>
      <w:proofErr w:type="spellEnd"/>
    </w:p>
    <w:p w:rsidR="00EA7D51" w:rsidRDefault="00EA7D51" w:rsidP="00525E18">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CC5EC5">
        <w:rPr>
          <w:sz w:val="20"/>
          <w:szCs w:val="20"/>
          <w:lang w:val="en-NZ"/>
        </w:rPr>
        <w:t>:</w:t>
      </w:r>
      <w:r w:rsidR="00CC5EC5" w:rsidRPr="00CC5EC5">
        <w:rPr>
          <w:sz w:val="20"/>
          <w:szCs w:val="20"/>
          <w:lang w:val="en-NZ"/>
        </w:rPr>
        <w:t xml:space="preserve"> </w:t>
      </w:r>
      <w:r w:rsidR="00E91928" w:rsidRPr="00F35A62">
        <w:rPr>
          <w:sz w:val="20"/>
          <w:szCs w:val="20"/>
          <w:lang w:val="en-NZ"/>
        </w:rPr>
        <w:t>Oral presentation</w:t>
      </w:r>
    </w:p>
    <w:p w:rsidR="00ED6DB6" w:rsidRDefault="00ED6DB6" w:rsidP="00525E18">
      <w:pPr>
        <w:autoSpaceDE w:val="0"/>
        <w:autoSpaceDN w:val="0"/>
        <w:adjustRightInd w:val="0"/>
        <w:rPr>
          <w:sz w:val="20"/>
          <w:szCs w:val="20"/>
          <w:lang w:val="en-NZ"/>
        </w:rPr>
      </w:pPr>
    </w:p>
    <w:p w:rsidR="00ED6DB6" w:rsidRDefault="00ED6DB6" w:rsidP="00525E18">
      <w:pPr>
        <w:autoSpaceDE w:val="0"/>
        <w:autoSpaceDN w:val="0"/>
        <w:adjustRightInd w:val="0"/>
        <w:rPr>
          <w:sz w:val="20"/>
          <w:szCs w:val="20"/>
          <w:lang w:val="en-NZ"/>
        </w:rPr>
      </w:pPr>
    </w:p>
    <w:p w:rsidR="00ED6DB6" w:rsidRPr="000534A1" w:rsidRDefault="00ED6DB6" w:rsidP="00525E18">
      <w:pPr>
        <w:autoSpaceDE w:val="0"/>
        <w:autoSpaceDN w:val="0"/>
        <w:adjustRightInd w:val="0"/>
        <w:rPr>
          <w:rFonts w:ascii="Minion Pro"/>
          <w:b/>
          <w:sz w:val="20"/>
        </w:rPr>
        <w:sectPr w:rsidR="00ED6DB6"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6B2" w:rsidRDefault="00E736B2">
      <w:r>
        <w:separator/>
      </w:r>
    </w:p>
  </w:endnote>
  <w:endnote w:type="continuationSeparator" w:id="0">
    <w:p w:rsidR="00E736B2" w:rsidRDefault="00E73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6B2" w:rsidRDefault="00E736B2">
      <w:r>
        <w:separator/>
      </w:r>
    </w:p>
  </w:footnote>
  <w:footnote w:type="continuationSeparator" w:id="0">
    <w:p w:rsidR="00E736B2" w:rsidRDefault="00E736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00E"/>
    <w:rsid w:val="000534A1"/>
    <w:rsid w:val="0006797A"/>
    <w:rsid w:val="000B4CAA"/>
    <w:rsid w:val="000E2911"/>
    <w:rsid w:val="001263DF"/>
    <w:rsid w:val="00230F93"/>
    <w:rsid w:val="00274972"/>
    <w:rsid w:val="00283750"/>
    <w:rsid w:val="00292ED9"/>
    <w:rsid w:val="00332B32"/>
    <w:rsid w:val="00351D9B"/>
    <w:rsid w:val="003560FF"/>
    <w:rsid w:val="00380299"/>
    <w:rsid w:val="00404E5B"/>
    <w:rsid w:val="004101BA"/>
    <w:rsid w:val="00414F7B"/>
    <w:rsid w:val="004355DC"/>
    <w:rsid w:val="004749B4"/>
    <w:rsid w:val="00475D20"/>
    <w:rsid w:val="00494130"/>
    <w:rsid w:val="004B5135"/>
    <w:rsid w:val="004E2216"/>
    <w:rsid w:val="004F3523"/>
    <w:rsid w:val="00525E18"/>
    <w:rsid w:val="00572841"/>
    <w:rsid w:val="00590D60"/>
    <w:rsid w:val="005973B9"/>
    <w:rsid w:val="005B3A56"/>
    <w:rsid w:val="005F4DC7"/>
    <w:rsid w:val="006060CE"/>
    <w:rsid w:val="0061505C"/>
    <w:rsid w:val="0063497F"/>
    <w:rsid w:val="006735CD"/>
    <w:rsid w:val="006E26C7"/>
    <w:rsid w:val="00714354"/>
    <w:rsid w:val="00740D62"/>
    <w:rsid w:val="0085345A"/>
    <w:rsid w:val="00857E27"/>
    <w:rsid w:val="00873DF0"/>
    <w:rsid w:val="008756E6"/>
    <w:rsid w:val="00893A8A"/>
    <w:rsid w:val="00897EC5"/>
    <w:rsid w:val="008A0763"/>
    <w:rsid w:val="008E5477"/>
    <w:rsid w:val="009B2D44"/>
    <w:rsid w:val="00A07E82"/>
    <w:rsid w:val="00A52075"/>
    <w:rsid w:val="00A9710C"/>
    <w:rsid w:val="00AE3E37"/>
    <w:rsid w:val="00B210B6"/>
    <w:rsid w:val="00B21A57"/>
    <w:rsid w:val="00BE6743"/>
    <w:rsid w:val="00C33602"/>
    <w:rsid w:val="00C56C74"/>
    <w:rsid w:val="00CC5EC5"/>
    <w:rsid w:val="00CD6F55"/>
    <w:rsid w:val="00DD4023"/>
    <w:rsid w:val="00DD5597"/>
    <w:rsid w:val="00DD590C"/>
    <w:rsid w:val="00DE3104"/>
    <w:rsid w:val="00DE6170"/>
    <w:rsid w:val="00E30AAC"/>
    <w:rsid w:val="00E736B2"/>
    <w:rsid w:val="00E91928"/>
    <w:rsid w:val="00E95D97"/>
    <w:rsid w:val="00EA7D51"/>
    <w:rsid w:val="00ED6DB6"/>
    <w:rsid w:val="00EE42BB"/>
    <w:rsid w:val="00F046EA"/>
    <w:rsid w:val="00F312EA"/>
    <w:rsid w:val="00F35A62"/>
    <w:rsid w:val="00F72EEA"/>
    <w:rsid w:val="00F84CAE"/>
    <w:rsid w:val="00FA41DE"/>
    <w:rsid w:val="00FE6A17"/>
    <w:rsid w:val="00FF258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Emergency &amp; Acutecare Medicine</cp:lastModifiedBy>
  <cp:revision>2</cp:revision>
  <dcterms:created xsi:type="dcterms:W3CDTF">2022-02-07T04:45:00Z</dcterms:created>
  <dcterms:modified xsi:type="dcterms:W3CDTF">2022-02-07T04:45:00Z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