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DBA" w:rsidRDefault="00836507" w:rsidP="0010212B">
      <w:pPr>
        <w:pStyle w:val="Title"/>
        <w:ind w:left="0"/>
      </w:pPr>
      <w:r>
        <w:t xml:space="preserve">Title: </w:t>
      </w:r>
      <w:r w:rsidR="002D6065">
        <w:t>Design of lithium ion conducting porous hybrid materials for the</w:t>
      </w:r>
      <w:r w:rsidR="002D6065">
        <w:rPr>
          <w:spacing w:val="-67"/>
        </w:rPr>
        <w:t xml:space="preserve"> </w:t>
      </w:r>
      <w:r w:rsidR="002D6065">
        <w:t>development</w:t>
      </w:r>
      <w:r w:rsidR="002D6065">
        <w:rPr>
          <w:spacing w:val="-1"/>
        </w:rPr>
        <w:t xml:space="preserve"> </w:t>
      </w:r>
      <w:r w:rsidR="002D6065">
        <w:t>of</w:t>
      </w:r>
      <w:r w:rsidR="002D6065">
        <w:rPr>
          <w:spacing w:val="-3"/>
        </w:rPr>
        <w:t xml:space="preserve"> </w:t>
      </w:r>
      <w:r w:rsidR="002D6065">
        <w:t>solid li-battery</w:t>
      </w:r>
      <w:r w:rsidR="002D6065">
        <w:rPr>
          <w:spacing w:val="-2"/>
        </w:rPr>
        <w:t xml:space="preserve"> </w:t>
      </w:r>
      <w:r w:rsidR="002D6065">
        <w:t>electrolytes</w:t>
      </w:r>
    </w:p>
    <w:p w:rsidR="00BF2DBA" w:rsidRDefault="00BF2DBA" w:rsidP="0010212B">
      <w:pPr>
        <w:pStyle w:val="BodyText"/>
        <w:spacing w:before="10"/>
        <w:rPr>
          <w:b/>
        </w:rPr>
      </w:pPr>
    </w:p>
    <w:p w:rsidR="00BF2DBA" w:rsidRDefault="00836507" w:rsidP="0010212B">
      <w:pPr>
        <w:pStyle w:val="Heading2"/>
        <w:ind w:left="0" w:right="1648"/>
      </w:pPr>
      <w:r>
        <w:t>Koceila</w:t>
      </w:r>
      <w:r>
        <w:rPr>
          <w:spacing w:val="-3"/>
        </w:rPr>
        <w:t xml:space="preserve"> </w:t>
      </w:r>
      <w:r>
        <w:t>MAOUACINE</w:t>
      </w:r>
      <w:r w:rsidR="0010212B">
        <w:br/>
      </w:r>
      <w:r>
        <w:t>Aix-Marseille</w:t>
      </w:r>
      <w:r>
        <w:rPr>
          <w:spacing w:val="-3"/>
        </w:rPr>
        <w:t xml:space="preserve"> </w:t>
      </w:r>
      <w:r>
        <w:t>Université,</w:t>
      </w:r>
      <w:r>
        <w:rPr>
          <w:spacing w:val="-5"/>
        </w:rPr>
        <w:t xml:space="preserve"> </w:t>
      </w:r>
      <w:r>
        <w:t>Laboratoire</w:t>
      </w:r>
      <w:r>
        <w:rPr>
          <w:spacing w:val="-2"/>
        </w:rPr>
        <w:t xml:space="preserve"> </w:t>
      </w:r>
      <w:r>
        <w:t>MADIREL</w:t>
      </w:r>
      <w:r>
        <w:rPr>
          <w:spacing w:val="-5"/>
        </w:rPr>
        <w:t xml:space="preserve"> </w:t>
      </w:r>
      <w:r>
        <w:t>UMR</w:t>
      </w:r>
      <w:r>
        <w:rPr>
          <w:spacing w:val="-2"/>
        </w:rPr>
        <w:t xml:space="preserve"> </w:t>
      </w:r>
      <w:r>
        <w:t>7246,</w:t>
      </w:r>
      <w:r>
        <w:rPr>
          <w:spacing w:val="-2"/>
        </w:rPr>
        <w:t xml:space="preserve"> </w:t>
      </w:r>
      <w:r>
        <w:t>Marseille,</w:t>
      </w:r>
      <w:r w:rsidR="00171FCE">
        <w:rPr>
          <w:spacing w:val="-3"/>
        </w:rPr>
        <w:t xml:space="preserve"> </w:t>
      </w:r>
      <w:bookmarkStart w:id="0" w:name="_GoBack"/>
      <w:bookmarkEnd w:id="0"/>
      <w:r>
        <w:t>France</w:t>
      </w:r>
    </w:p>
    <w:p w:rsidR="00BF2DBA" w:rsidRDefault="00BF2DBA" w:rsidP="0010212B">
      <w:pPr>
        <w:pStyle w:val="BodyText"/>
        <w:rPr>
          <w:sz w:val="26"/>
        </w:rPr>
      </w:pPr>
    </w:p>
    <w:p w:rsidR="00BF2DBA" w:rsidRPr="002D6065" w:rsidRDefault="002D6065" w:rsidP="0010212B">
      <w:pPr>
        <w:pStyle w:val="BodyText"/>
        <w:spacing w:before="1"/>
        <w:rPr>
          <w:b/>
          <w:sz w:val="21"/>
        </w:rPr>
      </w:pPr>
      <w:r w:rsidRPr="002D6065">
        <w:rPr>
          <w:b/>
          <w:sz w:val="21"/>
        </w:rPr>
        <w:t>Abstract</w:t>
      </w:r>
    </w:p>
    <w:p w:rsidR="002D6065" w:rsidRDefault="002D6065" w:rsidP="0010212B">
      <w:pPr>
        <w:pStyle w:val="BodyText"/>
        <w:spacing w:before="1"/>
        <w:rPr>
          <w:sz w:val="21"/>
        </w:rPr>
      </w:pPr>
    </w:p>
    <w:p w:rsidR="00BF2DBA" w:rsidRDefault="00836507" w:rsidP="002D6065">
      <w:pPr>
        <w:pStyle w:val="BodyText"/>
        <w:spacing w:before="1"/>
        <w:ind w:right="109"/>
        <w:jc w:val="both"/>
      </w:pPr>
      <w:r>
        <w:t>Solid polymer electrolytes (SPE) based on poly(ethylene oxide), PEO, and lithium-salt complexes are</w:t>
      </w:r>
      <w:r>
        <w:rPr>
          <w:spacing w:val="-55"/>
        </w:rPr>
        <w:t xml:space="preserve"> </w:t>
      </w:r>
      <w:r>
        <w:t>one of the most promising materials for developing safe, cheap and durable all-solid-state lithium</w:t>
      </w:r>
      <w:r>
        <w:rPr>
          <w:spacing w:val="1"/>
        </w:rPr>
        <w:t xml:space="preserve"> </w:t>
      </w:r>
      <w:r>
        <w:t>batteries.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ionic</w:t>
      </w:r>
      <w:r>
        <w:rPr>
          <w:spacing w:val="1"/>
        </w:rPr>
        <w:t xml:space="preserve"> </w:t>
      </w:r>
      <w:r>
        <w:t>conductivity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ambient</w:t>
      </w:r>
      <w:r>
        <w:rPr>
          <w:spacing w:val="1"/>
        </w:rPr>
        <w:t xml:space="preserve"> </w:t>
      </w:r>
      <w:r>
        <w:t>temperature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poor</w:t>
      </w:r>
      <w:r>
        <w:rPr>
          <w:spacing w:val="1"/>
        </w:rPr>
        <w:t xml:space="preserve"> </w:t>
      </w:r>
      <w:r>
        <w:t>mechanical and electrochemical stabilities of PEO-based SPEs limit</w:t>
      </w:r>
      <w:r w:rsidR="002D6065">
        <w:t xml:space="preserve"> their practical application</w:t>
      </w:r>
      <w:r>
        <w:t>. The</w:t>
      </w:r>
      <w:r>
        <w:rPr>
          <w:spacing w:val="1"/>
        </w:rPr>
        <w:t xml:space="preserve"> </w:t>
      </w:r>
      <w:r>
        <w:t>attempts to overcome the disadvantages and limitations of SPEs led to the generation of a new class of</w:t>
      </w:r>
      <w:r>
        <w:rPr>
          <w:spacing w:val="1"/>
        </w:rPr>
        <w:t xml:space="preserve"> </w:t>
      </w:r>
      <w:r>
        <w:t>electrolytes in which ceramic fillers such as SiO</w:t>
      </w:r>
      <w:r>
        <w:rPr>
          <w:sz w:val="16"/>
        </w:rPr>
        <w:t>2</w:t>
      </w:r>
      <w:r>
        <w:t>, Al</w:t>
      </w:r>
      <w:r>
        <w:rPr>
          <w:sz w:val="16"/>
        </w:rPr>
        <w:t>2</w:t>
      </w:r>
      <w:r>
        <w:t>O</w:t>
      </w:r>
      <w:r>
        <w:rPr>
          <w:sz w:val="16"/>
        </w:rPr>
        <w:t xml:space="preserve">3 </w:t>
      </w:r>
      <w:r>
        <w:t>are incorporated in PEO-Li salt matrix. In this</w:t>
      </w:r>
      <w:r>
        <w:rPr>
          <w:spacing w:val="1"/>
        </w:rPr>
        <w:t xml:space="preserve"> </w:t>
      </w:r>
      <w:r>
        <w:t>context, the incorporation of mesoporous silica in the polymer matrix is attractive as its possesses</w:t>
      </w:r>
      <w:r>
        <w:rPr>
          <w:spacing w:val="1"/>
        </w:rPr>
        <w:t xml:space="preserve"> </w:t>
      </w:r>
      <w:r>
        <w:t>interesting properties, such as its unique ordered structure, high specific area, chemical properties and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versatility</w:t>
      </w:r>
      <w:r>
        <w:rPr>
          <w:spacing w:val="-3"/>
        </w:rPr>
        <w:t xml:space="preserve"> </w:t>
      </w:r>
      <w:r>
        <w:t>in terms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synthesis.</w:t>
      </w:r>
    </w:p>
    <w:p w:rsidR="002D6065" w:rsidRDefault="002D6065" w:rsidP="0010212B">
      <w:pPr>
        <w:pStyle w:val="BodyText"/>
        <w:spacing w:before="1"/>
        <w:ind w:right="109" w:firstLine="240"/>
        <w:jc w:val="both"/>
      </w:pPr>
    </w:p>
    <w:p w:rsidR="00BF2DBA" w:rsidRDefault="00836507" w:rsidP="002D6065">
      <w:pPr>
        <w:pStyle w:val="BodyText"/>
        <w:ind w:right="107"/>
        <w:jc w:val="both"/>
      </w:pPr>
      <w:r>
        <w:t>In our work, we propose a novel approach that leads to the elaboration a porous organic-inorganic</w:t>
      </w:r>
      <w:r>
        <w:rPr>
          <w:spacing w:val="1"/>
        </w:rPr>
        <w:t xml:space="preserve"> </w:t>
      </w:r>
      <w:r>
        <w:t>hybrid electrolyte containing a higher weight fraction of mesoporous silica than PEO polymer. Here, the</w:t>
      </w:r>
      <w:r>
        <w:rPr>
          <w:spacing w:val="-55"/>
        </w:rPr>
        <w:t xml:space="preserve"> </w:t>
      </w:r>
      <w:r>
        <w:t>polymer-salt is entirely embedded inside the mesoporous silica matrix, offering the mechanical support</w:t>
      </w:r>
      <w:r>
        <w:rPr>
          <w:spacing w:val="1"/>
        </w:rPr>
        <w:t xml:space="preserve"> </w:t>
      </w:r>
      <w:r>
        <w:t>to the electrolyte. Two morphologies of hybrid silica materials were tested, both powder and thin films.</w:t>
      </w:r>
      <w:r>
        <w:rPr>
          <w:spacing w:val="1"/>
        </w:rPr>
        <w:t xml:space="preserve"> </w:t>
      </w:r>
      <w:r>
        <w:t>These were synthesized using commercial structure directing agent through classical (for powders) and</w:t>
      </w:r>
      <w:r>
        <w:rPr>
          <w:spacing w:val="1"/>
        </w:rPr>
        <w:t xml:space="preserve"> </w:t>
      </w:r>
      <w:r>
        <w:t>electro-assisted (for thin films) s</w:t>
      </w:r>
      <w:r w:rsidR="002D6065">
        <w:t>elf -assembly sol-gel method</w:t>
      </w:r>
      <w:r>
        <w:t>. In the first method, hybrid silica</w:t>
      </w:r>
      <w:r>
        <w:rPr>
          <w:spacing w:val="1"/>
        </w:rPr>
        <w:t xml:space="preserve"> </w:t>
      </w:r>
      <w:r>
        <w:t>powder was synthesized and then calcined to liberate the porosity. After this, mesoporous silica was</w:t>
      </w:r>
      <w:r>
        <w:rPr>
          <w:spacing w:val="1"/>
        </w:rPr>
        <w:t xml:space="preserve"> </w:t>
      </w:r>
      <w:r>
        <w:t>functionalized with different low molecular weight PEO chains by a simple solution impregnation.</w:t>
      </w:r>
      <w:r>
        <w:rPr>
          <w:spacing w:val="1"/>
        </w:rPr>
        <w:t xml:space="preserve"> </w:t>
      </w:r>
      <w:r>
        <w:t>Textural, and structural characterizations were performed using various techniques such as SEM, TEM,</w:t>
      </w:r>
      <w:r>
        <w:rPr>
          <w:spacing w:val="1"/>
        </w:rPr>
        <w:t xml:space="preserve"> </w:t>
      </w:r>
      <w:r>
        <w:t>nitrogen sorption measurements, XRD, FTIR and thermal analysis (TGA). In the second method, hybrid</w:t>
      </w:r>
      <w:r>
        <w:rPr>
          <w:spacing w:val="-55"/>
        </w:rPr>
        <w:t xml:space="preserve"> </w:t>
      </w:r>
      <w:r>
        <w:t>thin silica films were deposited on glassy carbon substrates via electro-assisted self -assembly method.</w:t>
      </w:r>
      <w:r>
        <w:rPr>
          <w:spacing w:val="1"/>
        </w:rPr>
        <w:t xml:space="preserve"> </w:t>
      </w:r>
      <w:r>
        <w:t>However, the resulting films were covered by silica particles thus reducing the pores accessibility.</w:t>
      </w:r>
      <w:r>
        <w:rPr>
          <w:spacing w:val="1"/>
        </w:rPr>
        <w:t xml:space="preserve"> </w:t>
      </w:r>
      <w:r>
        <w:t>Several strategies were thus applied to address this problem of silica particles formation. The convection</w:t>
      </w:r>
      <w:r>
        <w:rPr>
          <w:spacing w:val="-5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sol</w:t>
      </w:r>
      <w:r>
        <w:rPr>
          <w:spacing w:val="24"/>
        </w:rPr>
        <w:t xml:space="preserve"> </w:t>
      </w:r>
      <w:r>
        <w:t>using</w:t>
      </w:r>
      <w:r>
        <w:rPr>
          <w:spacing w:val="26"/>
        </w:rPr>
        <w:t xml:space="preserve"> </w:t>
      </w:r>
      <w:r>
        <w:t>Rotating</w:t>
      </w:r>
      <w:r>
        <w:rPr>
          <w:spacing w:val="25"/>
        </w:rPr>
        <w:t xml:space="preserve"> </w:t>
      </w:r>
      <w:r>
        <w:t>Disc</w:t>
      </w:r>
      <w:r>
        <w:rPr>
          <w:spacing w:val="26"/>
        </w:rPr>
        <w:t xml:space="preserve"> </w:t>
      </w:r>
      <w:r>
        <w:t>Electrode</w:t>
      </w:r>
      <w:r>
        <w:rPr>
          <w:spacing w:val="27"/>
        </w:rPr>
        <w:t xml:space="preserve"> </w:t>
      </w:r>
      <w:r>
        <w:t>(RDE)</w:t>
      </w:r>
      <w:r>
        <w:rPr>
          <w:spacing w:val="26"/>
        </w:rPr>
        <w:t xml:space="preserve"> </w:t>
      </w:r>
      <w:r>
        <w:t>was</w:t>
      </w:r>
      <w:r>
        <w:rPr>
          <w:spacing w:val="26"/>
        </w:rPr>
        <w:t xml:space="preserve"> </w:t>
      </w:r>
      <w:r>
        <w:t>successful</w:t>
      </w:r>
      <w:r>
        <w:rPr>
          <w:spacing w:val="25"/>
        </w:rPr>
        <w:t xml:space="preserve"> </w:t>
      </w:r>
      <w:r>
        <w:t>leading</w:t>
      </w:r>
      <w:r>
        <w:rPr>
          <w:spacing w:val="24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particle</w:t>
      </w:r>
      <w:r>
        <w:rPr>
          <w:spacing w:val="27"/>
        </w:rPr>
        <w:t xml:space="preserve"> </w:t>
      </w:r>
      <w:r>
        <w:t>free</w:t>
      </w:r>
      <w:r>
        <w:rPr>
          <w:spacing w:val="26"/>
        </w:rPr>
        <w:t xml:space="preserve"> </w:t>
      </w:r>
      <w:r>
        <w:t>homogeneous</w:t>
      </w:r>
      <w:r>
        <w:rPr>
          <w:spacing w:val="-55"/>
        </w:rPr>
        <w:t xml:space="preserve"> </w:t>
      </w:r>
      <w:r>
        <w:t>thin films. In this way, hexagonal well-ordered and vertically oriented meso-channels with a diameter of</w:t>
      </w:r>
      <w:r>
        <w:rPr>
          <w:spacing w:val="-55"/>
        </w:rPr>
        <w:t xml:space="preserve"> </w:t>
      </w:r>
      <w:r>
        <w:t>3 nm were obtained after template elimination. The permeability of these films was confirmed by</w:t>
      </w:r>
      <w:r>
        <w:rPr>
          <w:spacing w:val="1"/>
        </w:rPr>
        <w:t xml:space="preserve"> </w:t>
      </w:r>
      <w:r>
        <w:t>electrochemical</w:t>
      </w:r>
      <w:r>
        <w:rPr>
          <w:spacing w:val="-3"/>
        </w:rPr>
        <w:t xml:space="preserve"> </w:t>
      </w:r>
      <w:r>
        <w:t>characterization</w:t>
      </w:r>
    </w:p>
    <w:p w:rsidR="00BF2DBA" w:rsidRDefault="00BF2DBA" w:rsidP="0010212B">
      <w:pPr>
        <w:pStyle w:val="BodyText"/>
        <w:rPr>
          <w:sz w:val="26"/>
        </w:rPr>
      </w:pPr>
    </w:p>
    <w:p w:rsidR="00BF2DBA" w:rsidRDefault="00836507" w:rsidP="0010212B">
      <w:pPr>
        <w:spacing w:line="264" w:lineRule="exact"/>
        <w:rPr>
          <w:b/>
          <w:sz w:val="23"/>
        </w:rPr>
      </w:pPr>
      <w:r>
        <w:rPr>
          <w:b/>
          <w:sz w:val="23"/>
        </w:rPr>
        <w:t>References</w:t>
      </w:r>
    </w:p>
    <w:p w:rsidR="00836507" w:rsidRDefault="00836507" w:rsidP="0010212B">
      <w:pPr>
        <w:spacing w:line="264" w:lineRule="exact"/>
        <w:rPr>
          <w:b/>
          <w:sz w:val="23"/>
        </w:rPr>
      </w:pPr>
    </w:p>
    <w:p w:rsidR="00BF2DBA" w:rsidRDefault="00836507" w:rsidP="00836507">
      <w:pPr>
        <w:pStyle w:val="ListParagraph"/>
        <w:numPr>
          <w:ilvl w:val="0"/>
          <w:numId w:val="2"/>
        </w:numPr>
        <w:tabs>
          <w:tab w:val="left" w:pos="428"/>
        </w:tabs>
        <w:ind w:right="559"/>
      </w:pPr>
      <w:r>
        <w:t>S.</w:t>
      </w:r>
      <w:r>
        <w:rPr>
          <w:spacing w:val="-3"/>
        </w:rPr>
        <w:t xml:space="preserve"> </w:t>
      </w:r>
      <w:r>
        <w:t>Li</w:t>
      </w:r>
      <w:r>
        <w:rPr>
          <w:spacing w:val="-2"/>
        </w:rPr>
        <w:t xml:space="preserve"> </w:t>
      </w:r>
      <w:r>
        <w:rPr>
          <w:i/>
        </w:rPr>
        <w:t>et</w:t>
      </w:r>
      <w:r>
        <w:rPr>
          <w:i/>
          <w:spacing w:val="-1"/>
        </w:rPr>
        <w:t xml:space="preserve"> </w:t>
      </w:r>
      <w:r>
        <w:rPr>
          <w:i/>
        </w:rPr>
        <w:t>al.</w:t>
      </w:r>
      <w:r>
        <w:t>,</w:t>
      </w:r>
      <w:r>
        <w:rPr>
          <w:spacing w:val="-3"/>
        </w:rPr>
        <w:t xml:space="preserve"> </w:t>
      </w:r>
      <w:r>
        <w:t>“Progress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Perspective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Ceramic/Polymer</w:t>
      </w:r>
      <w:r>
        <w:rPr>
          <w:spacing w:val="-1"/>
        </w:rPr>
        <w:t xml:space="preserve"> </w:t>
      </w:r>
      <w:r>
        <w:t>Composite</w:t>
      </w:r>
      <w:r>
        <w:rPr>
          <w:spacing w:val="-3"/>
        </w:rPr>
        <w:t xml:space="preserve"> </w:t>
      </w:r>
      <w:r>
        <w:t>Solid</w:t>
      </w:r>
      <w:r>
        <w:rPr>
          <w:spacing w:val="-5"/>
        </w:rPr>
        <w:t xml:space="preserve"> </w:t>
      </w:r>
      <w:r>
        <w:t>Electrolytes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Lithium</w:t>
      </w:r>
      <w:r>
        <w:rPr>
          <w:spacing w:val="-52"/>
        </w:rPr>
        <w:t xml:space="preserve"> </w:t>
      </w:r>
      <w:r>
        <w:t xml:space="preserve">Batteries,” </w:t>
      </w:r>
      <w:r>
        <w:rPr>
          <w:i/>
        </w:rPr>
        <w:t>Adv. Sci.</w:t>
      </w:r>
      <w:r>
        <w:t>,</w:t>
      </w:r>
      <w:r>
        <w:rPr>
          <w:spacing w:val="-3"/>
        </w:rPr>
        <w:t xml:space="preserve"> </w:t>
      </w:r>
      <w:r>
        <w:t>vol.</w:t>
      </w:r>
      <w:r>
        <w:rPr>
          <w:spacing w:val="-3"/>
        </w:rPr>
        <w:t xml:space="preserve"> </w:t>
      </w:r>
      <w:r>
        <w:t>7,</w:t>
      </w:r>
      <w:r>
        <w:rPr>
          <w:spacing w:val="-3"/>
        </w:rPr>
        <w:t xml:space="preserve"> </w:t>
      </w:r>
      <w:r>
        <w:t>no. 5, p. 1903088.</w:t>
      </w:r>
      <w:r>
        <w:rPr>
          <w:spacing w:val="-3"/>
        </w:rPr>
        <w:t xml:space="preserve"> </w:t>
      </w:r>
      <w:r>
        <w:t>2020.</w:t>
      </w:r>
    </w:p>
    <w:p w:rsidR="00BF2DBA" w:rsidRDefault="00836507" w:rsidP="00836507">
      <w:pPr>
        <w:pStyle w:val="ListParagraph"/>
        <w:numPr>
          <w:ilvl w:val="0"/>
          <w:numId w:val="2"/>
        </w:numPr>
        <w:tabs>
          <w:tab w:val="left" w:pos="425"/>
        </w:tabs>
        <w:ind w:right="553"/>
      </w:pPr>
      <w:r>
        <w:t xml:space="preserve">J. Hu </w:t>
      </w:r>
      <w:r>
        <w:rPr>
          <w:i/>
        </w:rPr>
        <w:t>et al.</w:t>
      </w:r>
      <w:r>
        <w:t>, “Composite polymer electrolytes reinforced by hollow silica nanotubes for lithium metal</w:t>
      </w:r>
      <w:r>
        <w:rPr>
          <w:spacing w:val="-52"/>
        </w:rPr>
        <w:t xml:space="preserve"> </w:t>
      </w:r>
      <w:r>
        <w:t>batteries,”</w:t>
      </w:r>
      <w:r>
        <w:rPr>
          <w:spacing w:val="-1"/>
        </w:rPr>
        <w:t xml:space="preserve"> </w:t>
      </w:r>
      <w:r>
        <w:rPr>
          <w:i/>
        </w:rPr>
        <w:t>J.</w:t>
      </w:r>
      <w:r>
        <w:rPr>
          <w:i/>
          <w:spacing w:val="-2"/>
        </w:rPr>
        <w:t xml:space="preserve"> </w:t>
      </w:r>
      <w:r>
        <w:rPr>
          <w:i/>
        </w:rPr>
        <w:t>Memb.</w:t>
      </w:r>
      <w:r>
        <w:rPr>
          <w:i/>
          <w:spacing w:val="-3"/>
        </w:rPr>
        <w:t xml:space="preserve"> </w:t>
      </w:r>
      <w:r>
        <w:rPr>
          <w:i/>
        </w:rPr>
        <w:t>Sci.</w:t>
      </w:r>
      <w:r>
        <w:t>, vol. 618,</w:t>
      </w:r>
      <w:r>
        <w:rPr>
          <w:spacing w:val="-3"/>
        </w:rPr>
        <w:t xml:space="preserve"> </w:t>
      </w:r>
      <w:r>
        <w:t>p. 118697. 2021.</w:t>
      </w:r>
    </w:p>
    <w:p w:rsidR="00BF2DBA" w:rsidRDefault="00BF2DBA" w:rsidP="0010212B">
      <w:pPr>
        <w:sectPr w:rsidR="00BF2DBA">
          <w:type w:val="continuous"/>
          <w:pgSz w:w="11910" w:h="16840"/>
          <w:pgMar w:top="960" w:right="1020" w:bottom="280" w:left="1020" w:header="720" w:footer="720" w:gutter="0"/>
          <w:cols w:space="720"/>
        </w:sectPr>
      </w:pPr>
    </w:p>
    <w:p w:rsidR="00836507" w:rsidRDefault="00836507" w:rsidP="00836507">
      <w:pPr>
        <w:pStyle w:val="ListParagraph"/>
        <w:numPr>
          <w:ilvl w:val="0"/>
          <w:numId w:val="2"/>
        </w:numPr>
        <w:tabs>
          <w:tab w:val="left" w:pos="428"/>
        </w:tabs>
        <w:spacing w:before="64"/>
        <w:ind w:right="166"/>
      </w:pPr>
      <w:r>
        <w:lastRenderedPageBreak/>
        <w:t>Y. X. Jiang, J. M. Xu, Q. C. Zhuang, L. Y. Jin, and S. G. Sun, “A novel PEO-based composite solid-state</w:t>
      </w:r>
      <w:r>
        <w:rPr>
          <w:spacing w:val="-52"/>
        </w:rPr>
        <w:t xml:space="preserve"> </w:t>
      </w:r>
      <w:r>
        <w:t xml:space="preserve">polymer electrolyte with methyl group-functionalized SBA-15 filler for rechargeable lithium batteries,” </w:t>
      </w:r>
      <w:r>
        <w:rPr>
          <w:i/>
        </w:rPr>
        <w:t>J.</w:t>
      </w:r>
      <w:r>
        <w:rPr>
          <w:i/>
          <w:spacing w:val="1"/>
        </w:rPr>
        <w:t xml:space="preserve"> </w:t>
      </w:r>
      <w:r>
        <w:rPr>
          <w:i/>
        </w:rPr>
        <w:t>Solid</w:t>
      </w:r>
      <w:r>
        <w:rPr>
          <w:i/>
          <w:spacing w:val="-1"/>
        </w:rPr>
        <w:t xml:space="preserve"> </w:t>
      </w:r>
      <w:r>
        <w:rPr>
          <w:i/>
        </w:rPr>
        <w:t>State Electrochem.</w:t>
      </w:r>
      <w:r>
        <w:t>,</w:t>
      </w:r>
      <w:r>
        <w:rPr>
          <w:spacing w:val="-3"/>
        </w:rPr>
        <w:t xml:space="preserve"> </w:t>
      </w:r>
      <w:r>
        <w:t>vol. 12,</w:t>
      </w:r>
      <w:r>
        <w:rPr>
          <w:spacing w:val="-3"/>
        </w:rPr>
        <w:t xml:space="preserve"> </w:t>
      </w:r>
      <w:r>
        <w:t>no. 4, pp. 353–361.</w:t>
      </w:r>
      <w:r>
        <w:rPr>
          <w:spacing w:val="-3"/>
        </w:rPr>
        <w:t xml:space="preserve"> </w:t>
      </w:r>
      <w:r>
        <w:t>2008.</w:t>
      </w:r>
    </w:p>
    <w:p w:rsidR="00836507" w:rsidRDefault="00836507" w:rsidP="00836507">
      <w:pPr>
        <w:pStyle w:val="ListParagraph"/>
      </w:pPr>
    </w:p>
    <w:p w:rsidR="00BF2DBA" w:rsidRDefault="00836507" w:rsidP="00836507">
      <w:pPr>
        <w:pStyle w:val="ListParagraph"/>
        <w:numPr>
          <w:ilvl w:val="0"/>
          <w:numId w:val="2"/>
        </w:numPr>
        <w:tabs>
          <w:tab w:val="left" w:pos="428"/>
        </w:tabs>
        <w:spacing w:before="64"/>
        <w:ind w:right="166"/>
      </w:pPr>
      <w:r>
        <w:t>A. Goux, M. Etienne, E.</w:t>
      </w:r>
      <w:r w:rsidRPr="00836507">
        <w:rPr>
          <w:spacing w:val="1"/>
        </w:rPr>
        <w:t xml:space="preserve"> </w:t>
      </w:r>
      <w:r>
        <w:t>Aubert,</w:t>
      </w:r>
      <w:r w:rsidRPr="00836507">
        <w:rPr>
          <w:spacing w:val="1"/>
        </w:rPr>
        <w:t xml:space="preserve"> </w:t>
      </w:r>
      <w:r>
        <w:t>C. Lecomte, J. Ghanbaja, and A.</w:t>
      </w:r>
      <w:r w:rsidRPr="00836507">
        <w:rPr>
          <w:spacing w:val="55"/>
        </w:rPr>
        <w:t xml:space="preserve"> </w:t>
      </w:r>
      <w:r>
        <w:t>Walcarius, “Oriented mesoporous</w:t>
      </w:r>
      <w:r w:rsidRPr="00836507">
        <w:rPr>
          <w:spacing w:val="1"/>
        </w:rPr>
        <w:t xml:space="preserve"> </w:t>
      </w:r>
      <w:r>
        <w:t xml:space="preserve">silica films obtained by electro-assisted self-assembly (EASA),” </w:t>
      </w:r>
      <w:r w:rsidRPr="00836507">
        <w:rPr>
          <w:i/>
        </w:rPr>
        <w:t>Chem. Mater.</w:t>
      </w:r>
      <w:r>
        <w:t>, vol. 21, no. 4, pp. 731–741.</w:t>
      </w:r>
      <w:r w:rsidRPr="00836507">
        <w:rPr>
          <w:spacing w:val="1"/>
        </w:rPr>
        <w:t xml:space="preserve"> </w:t>
      </w:r>
      <w:r>
        <w:t>2009.</w:t>
      </w:r>
    </w:p>
    <w:p w:rsidR="00BF2DBA" w:rsidRDefault="00BF2DBA" w:rsidP="0010212B">
      <w:pPr>
        <w:pStyle w:val="BodyText"/>
        <w:spacing w:before="10"/>
        <w:rPr>
          <w:sz w:val="21"/>
        </w:rPr>
      </w:pPr>
    </w:p>
    <w:p w:rsidR="00BF2DBA" w:rsidRDefault="00836507" w:rsidP="0010212B">
      <w:pPr>
        <w:pStyle w:val="Heading1"/>
        <w:spacing w:before="1"/>
        <w:ind w:left="0"/>
      </w:pPr>
      <w:r>
        <w:t>Biography</w:t>
      </w:r>
    </w:p>
    <w:p w:rsidR="00BF2DBA" w:rsidRDefault="00BF2DBA" w:rsidP="0010212B">
      <w:pPr>
        <w:pStyle w:val="BodyText"/>
        <w:rPr>
          <w:b/>
          <w:sz w:val="24"/>
        </w:rPr>
      </w:pPr>
    </w:p>
    <w:p w:rsidR="00BF2DBA" w:rsidRPr="002D6065" w:rsidRDefault="00836507" w:rsidP="002D6065">
      <w:pPr>
        <w:rPr>
          <w:sz w:val="24"/>
        </w:rPr>
      </w:pPr>
      <w:r>
        <w:rPr>
          <w:sz w:val="24"/>
        </w:rPr>
        <w:t>Koceila</w:t>
      </w:r>
      <w:r>
        <w:rPr>
          <w:spacing w:val="-3"/>
          <w:sz w:val="24"/>
        </w:rPr>
        <w:t xml:space="preserve"> </w:t>
      </w:r>
      <w:r>
        <w:rPr>
          <w:sz w:val="24"/>
        </w:rPr>
        <w:t>MAOUACINE</w:t>
      </w:r>
      <w:r>
        <w:rPr>
          <w:spacing w:val="-1"/>
          <w:sz w:val="24"/>
        </w:rPr>
        <w:t xml:space="preserve"> </w:t>
      </w:r>
      <w:r>
        <w:rPr>
          <w:sz w:val="24"/>
        </w:rPr>
        <w:t>PhD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3"/>
        </w:rPr>
        <w:t>Aix-Marseille</w:t>
      </w:r>
      <w:r>
        <w:rPr>
          <w:spacing w:val="-1"/>
          <w:sz w:val="23"/>
        </w:rPr>
        <w:t xml:space="preserve"> </w:t>
      </w:r>
      <w:r>
        <w:rPr>
          <w:sz w:val="23"/>
        </w:rPr>
        <w:t>Université</w:t>
      </w:r>
      <w:r>
        <w:rPr>
          <w:sz w:val="24"/>
        </w:rPr>
        <w:t>,</w:t>
      </w:r>
      <w:r w:rsidR="002D6065">
        <w:rPr>
          <w:sz w:val="24"/>
        </w:rPr>
        <w:t xml:space="preserve"> </w:t>
      </w: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years</w:t>
      </w:r>
      <w:r>
        <w:rPr>
          <w:spacing w:val="-3"/>
          <w:sz w:val="24"/>
        </w:rPr>
        <w:t xml:space="preserve"> </w:t>
      </w:r>
      <w:r>
        <w:rPr>
          <w:sz w:val="24"/>
        </w:rPr>
        <w:t>old.</w:t>
      </w:r>
    </w:p>
    <w:sectPr w:rsidR="00BF2DBA" w:rsidRPr="002D6065">
      <w:pgSz w:w="11910" w:h="16840"/>
      <w:pgMar w:top="9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B2B38"/>
    <w:multiLevelType w:val="hybridMultilevel"/>
    <w:tmpl w:val="18BE81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69205F6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B6D36"/>
    <w:multiLevelType w:val="hybridMultilevel"/>
    <w:tmpl w:val="F642D43E"/>
    <w:lvl w:ilvl="0" w:tplc="E06E5D54">
      <w:start w:val="1"/>
      <w:numFmt w:val="decimal"/>
      <w:lvlText w:val="[%1]"/>
      <w:lvlJc w:val="left"/>
      <w:pPr>
        <w:ind w:left="113" w:hanging="31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568340A">
      <w:numFmt w:val="bullet"/>
      <w:lvlText w:val="•"/>
      <w:lvlJc w:val="left"/>
      <w:pPr>
        <w:ind w:left="1094" w:hanging="314"/>
      </w:pPr>
      <w:rPr>
        <w:rFonts w:hint="default"/>
        <w:lang w:val="en-US" w:eastAsia="en-US" w:bidi="ar-SA"/>
      </w:rPr>
    </w:lvl>
    <w:lvl w:ilvl="2" w:tplc="DBFC0B84">
      <w:numFmt w:val="bullet"/>
      <w:lvlText w:val="•"/>
      <w:lvlJc w:val="left"/>
      <w:pPr>
        <w:ind w:left="2069" w:hanging="314"/>
      </w:pPr>
      <w:rPr>
        <w:rFonts w:hint="default"/>
        <w:lang w:val="en-US" w:eastAsia="en-US" w:bidi="ar-SA"/>
      </w:rPr>
    </w:lvl>
    <w:lvl w:ilvl="3" w:tplc="34F4C450">
      <w:numFmt w:val="bullet"/>
      <w:lvlText w:val="•"/>
      <w:lvlJc w:val="left"/>
      <w:pPr>
        <w:ind w:left="3043" w:hanging="314"/>
      </w:pPr>
      <w:rPr>
        <w:rFonts w:hint="default"/>
        <w:lang w:val="en-US" w:eastAsia="en-US" w:bidi="ar-SA"/>
      </w:rPr>
    </w:lvl>
    <w:lvl w:ilvl="4" w:tplc="DD6299C6">
      <w:numFmt w:val="bullet"/>
      <w:lvlText w:val="•"/>
      <w:lvlJc w:val="left"/>
      <w:pPr>
        <w:ind w:left="4018" w:hanging="314"/>
      </w:pPr>
      <w:rPr>
        <w:rFonts w:hint="default"/>
        <w:lang w:val="en-US" w:eastAsia="en-US" w:bidi="ar-SA"/>
      </w:rPr>
    </w:lvl>
    <w:lvl w:ilvl="5" w:tplc="D28E20EA">
      <w:numFmt w:val="bullet"/>
      <w:lvlText w:val="•"/>
      <w:lvlJc w:val="left"/>
      <w:pPr>
        <w:ind w:left="4993" w:hanging="314"/>
      </w:pPr>
      <w:rPr>
        <w:rFonts w:hint="default"/>
        <w:lang w:val="en-US" w:eastAsia="en-US" w:bidi="ar-SA"/>
      </w:rPr>
    </w:lvl>
    <w:lvl w:ilvl="6" w:tplc="393CFFBE">
      <w:numFmt w:val="bullet"/>
      <w:lvlText w:val="•"/>
      <w:lvlJc w:val="left"/>
      <w:pPr>
        <w:ind w:left="5967" w:hanging="314"/>
      </w:pPr>
      <w:rPr>
        <w:rFonts w:hint="default"/>
        <w:lang w:val="en-US" w:eastAsia="en-US" w:bidi="ar-SA"/>
      </w:rPr>
    </w:lvl>
    <w:lvl w:ilvl="7" w:tplc="D3786050">
      <w:numFmt w:val="bullet"/>
      <w:lvlText w:val="•"/>
      <w:lvlJc w:val="left"/>
      <w:pPr>
        <w:ind w:left="6942" w:hanging="314"/>
      </w:pPr>
      <w:rPr>
        <w:rFonts w:hint="default"/>
        <w:lang w:val="en-US" w:eastAsia="en-US" w:bidi="ar-SA"/>
      </w:rPr>
    </w:lvl>
    <w:lvl w:ilvl="8" w:tplc="5EA431D4">
      <w:numFmt w:val="bullet"/>
      <w:lvlText w:val="•"/>
      <w:lvlJc w:val="left"/>
      <w:pPr>
        <w:ind w:left="7917" w:hanging="31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2DBA"/>
    <w:rsid w:val="0010212B"/>
    <w:rsid w:val="00171FCE"/>
    <w:rsid w:val="002D6065"/>
    <w:rsid w:val="00836507"/>
    <w:rsid w:val="00BF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89"/>
      <w:ind w:left="113" w:right="118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3" w:right="10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0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12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89"/>
      <w:ind w:left="113" w:right="118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3" w:right="10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0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12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renewableenergy2021</cp:lastModifiedBy>
  <cp:revision>6</cp:revision>
  <dcterms:created xsi:type="dcterms:W3CDTF">2022-05-23T10:02:00Z</dcterms:created>
  <dcterms:modified xsi:type="dcterms:W3CDTF">2022-05-23T10:10:00Z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2021-07-30T00:00:00Z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2022-05-23T00:00:00Z</vt:filetime>
  </property>
</Properties>
</file>