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Point-of-care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findings associated with need for intensive care in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positive patients</w:t>
      </w:r>
    </w:p>
    <w:p w:rsidR="006A6303" w:rsidRPr="006A6303" w:rsidRDefault="006A6303" w:rsidP="006A6303">
      <w:pPr>
        <w:rPr>
          <w:rFonts w:ascii="Arial" w:eastAsia="Times New Roman" w:hAnsi="Arial" w:cs="Arial"/>
          <w:sz w:val="22"/>
          <w:szCs w:val="22"/>
        </w:rPr>
      </w:pPr>
      <w:bookmarkStart w:id="0" w:name="_GoBack"/>
    </w:p>
    <w:p w:rsidR="006A6303" w:rsidRPr="006A6303" w:rsidRDefault="006A6303" w:rsidP="006A6303">
      <w:pPr>
        <w:rPr>
          <w:rFonts w:ascii="Arial" w:eastAsia="Times New Roman" w:hAnsi="Arial" w:cs="Arial"/>
          <w:b/>
          <w:bCs/>
          <w:sz w:val="22"/>
          <w:szCs w:val="22"/>
        </w:rPr>
      </w:pPr>
      <w:r w:rsidRPr="006A6303">
        <w:rPr>
          <w:rFonts w:ascii="Arial" w:eastAsia="Times New Roman" w:hAnsi="Arial" w:cs="Arial"/>
          <w:b/>
          <w:bCs/>
          <w:sz w:val="22"/>
          <w:szCs w:val="22"/>
        </w:rPr>
        <w:t xml:space="preserve">Viveta Lobo </w:t>
      </w:r>
      <w:bookmarkEnd w:id="0"/>
      <w:r w:rsidRPr="006A6303">
        <w:rPr>
          <w:rFonts w:ascii="Arial" w:eastAsia="Times New Roman" w:hAnsi="Arial" w:cs="Arial"/>
          <w:b/>
          <w:bCs/>
          <w:sz w:val="22"/>
          <w:szCs w:val="22"/>
        </w:rPr>
        <w:t>MD</w:t>
      </w:r>
    </w:p>
    <w:p w:rsidR="006A6303" w:rsidRPr="006A6303" w:rsidRDefault="006A6303" w:rsidP="006A6303">
      <w:pPr>
        <w:rPr>
          <w:rFonts w:ascii="Arial" w:eastAsia="Times New Roman" w:hAnsi="Arial" w:cs="Arial"/>
          <w:b/>
          <w:bCs/>
          <w:sz w:val="22"/>
          <w:szCs w:val="22"/>
        </w:rPr>
      </w:pPr>
      <w:r w:rsidRPr="006A6303">
        <w:rPr>
          <w:rFonts w:ascii="Arial" w:eastAsia="Times New Roman" w:hAnsi="Arial" w:cs="Arial"/>
          <w:b/>
          <w:bCs/>
          <w:sz w:val="22"/>
          <w:szCs w:val="22"/>
        </w:rPr>
        <w:t>Stanford School of Medicine, California, USA</w:t>
      </w:r>
    </w:p>
    <w:p w:rsidR="006A6303" w:rsidRPr="006A6303" w:rsidRDefault="006A6303" w:rsidP="006A6303">
      <w:pPr>
        <w:rPr>
          <w:rFonts w:ascii="Arial" w:eastAsia="Times New Roman" w:hAnsi="Arial" w:cs="Arial"/>
          <w:sz w:val="22"/>
          <w:szCs w:val="22"/>
        </w:rPr>
      </w:pPr>
    </w:p>
    <w:p w:rsidR="006A6303" w:rsidRPr="006A6303" w:rsidRDefault="006A6303" w:rsidP="006A6303">
      <w:pPr>
        <w:rPr>
          <w:rFonts w:ascii="Arial" w:eastAsia="Times New Roman" w:hAnsi="Arial" w:cs="Arial"/>
          <w:b/>
          <w:bCs/>
          <w:sz w:val="22"/>
          <w:szCs w:val="22"/>
        </w:rPr>
      </w:pPr>
      <w:r w:rsidRPr="006A6303">
        <w:rPr>
          <w:rFonts w:ascii="Arial" w:eastAsia="Times New Roman" w:hAnsi="Arial" w:cs="Arial"/>
          <w:b/>
          <w:bCs/>
          <w:sz w:val="22"/>
          <w:szCs w:val="22"/>
        </w:rPr>
        <w:t>Introduction</w:t>
      </w:r>
    </w:p>
    <w:p w:rsidR="006A6303" w:rsidRPr="006A6303" w:rsidRDefault="006A6303" w:rsidP="006A6303">
      <w:pPr>
        <w:rPr>
          <w:rFonts w:ascii="Arial" w:eastAsia="Times New Roman" w:hAnsi="Arial" w:cs="Arial"/>
          <w:sz w:val="22"/>
          <w:szCs w:val="22"/>
        </w:rPr>
      </w:pPr>
    </w:p>
    <w:p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Point-of-care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(LUS) has known utility in the diagnosis of parenchymal </w:t>
      </w:r>
      <w:r w:rsidRPr="006A6303">
        <w:rPr>
          <w:rFonts w:ascii="Arial" w:eastAsia="Times New Roman" w:hAnsi="Arial" w:cs="Arial"/>
          <w:color w:val="070706"/>
          <w:sz w:val="22"/>
          <w:szCs w:val="22"/>
          <w:shd w:val="clear" w:color="auto" w:fill="FFEE94"/>
        </w:rPr>
        <w:t xml:space="preserve">lung </w:t>
      </w:r>
      <w:r w:rsidRPr="006A6303">
        <w:rPr>
          <w:rFonts w:ascii="Arial" w:eastAsia="Times New Roman" w:hAnsi="Arial" w:cs="Arial"/>
          <w:color w:val="000000"/>
          <w:sz w:val="22"/>
          <w:szCs w:val="22"/>
        </w:rPr>
        <w:t>disease and has been proposed for use in the diagnosis of patients with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The objective of this study was to evaluate the prognostic potential of findings on initial LUS performed in the Emergency Department (ED) or upon hospital admission on the need for intensive care in patients positive for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w:t>
      </w:r>
    </w:p>
    <w:p w:rsidR="006A6303" w:rsidRPr="006A6303" w:rsidRDefault="006A6303" w:rsidP="006A6303">
      <w:pPr>
        <w:spacing w:before="100" w:beforeAutospacing="1" w:after="100" w:afterAutospacing="1"/>
        <w:outlineLvl w:val="2"/>
        <w:rPr>
          <w:rFonts w:ascii="Arial" w:eastAsia="Times New Roman" w:hAnsi="Arial" w:cs="Arial"/>
          <w:b/>
          <w:bCs/>
          <w:color w:val="000000"/>
          <w:sz w:val="22"/>
          <w:szCs w:val="22"/>
        </w:rPr>
      </w:pPr>
      <w:r w:rsidRPr="006A6303">
        <w:rPr>
          <w:rFonts w:ascii="Arial" w:eastAsia="Times New Roman" w:hAnsi="Arial" w:cs="Arial"/>
          <w:b/>
          <w:bCs/>
          <w:color w:val="000000"/>
          <w:sz w:val="22"/>
          <w:szCs w:val="22"/>
        </w:rPr>
        <w:t>Methods</w:t>
      </w:r>
    </w:p>
    <w:p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This was a prospective, multi-center observational study in which patients suspected of being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positive were scanned in the ED by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fellowship trained emergency physicians or as soon as possible upon hospital admission by point-of-care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trained internal medicine physicians. Participants at least 18 years of age who were found to be positive for </w:t>
      </w: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infection by nasopharyngeal swab PCR testing were included in the analysis. LUS clips were obtained using a 12-zone protocol including views of bilateral anterior, lateral and posterior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zones. Each scan was reviewed by 2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experts who reached agreement on the presence of A-lines, B-lines, subpleural consolidations and pleural effusions. The association of these findings with the primary outcome of intensive care unit (ICU) admission during hospital stay was assessed using Fisher’s exact tests.</w:t>
      </w:r>
    </w:p>
    <w:p w:rsidR="006A6303" w:rsidRPr="006A6303" w:rsidRDefault="006A6303" w:rsidP="006A6303">
      <w:pPr>
        <w:spacing w:before="100" w:beforeAutospacing="1" w:after="100" w:afterAutospacing="1"/>
        <w:outlineLvl w:val="2"/>
        <w:rPr>
          <w:rFonts w:ascii="Arial" w:eastAsia="Times New Roman" w:hAnsi="Arial" w:cs="Arial"/>
          <w:b/>
          <w:bCs/>
          <w:color w:val="000000"/>
          <w:sz w:val="22"/>
          <w:szCs w:val="22"/>
        </w:rPr>
      </w:pPr>
      <w:r w:rsidRPr="006A6303">
        <w:rPr>
          <w:rFonts w:ascii="Arial" w:eastAsia="Times New Roman" w:hAnsi="Arial" w:cs="Arial"/>
          <w:b/>
          <w:bCs/>
          <w:color w:val="000000"/>
          <w:sz w:val="22"/>
          <w:szCs w:val="22"/>
        </w:rPr>
        <w:t>Results</w:t>
      </w:r>
    </w:p>
    <w:p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00000"/>
          <w:sz w:val="22"/>
          <w:szCs w:val="22"/>
        </w:rPr>
        <w:t>There were 94 patients enrolled, 21 of whom required ICU admission. Patients who were admitted to the ICU were less likely to have A-lines present in &gt;50% of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zones on their initial </w:t>
      </w:r>
      <w:r w:rsidRPr="006A6303">
        <w:rPr>
          <w:rFonts w:ascii="Arial" w:eastAsia="Times New Roman" w:hAnsi="Arial" w:cs="Arial"/>
          <w:color w:val="070706"/>
          <w:sz w:val="22"/>
          <w:szCs w:val="22"/>
          <w:shd w:val="clear" w:color="auto" w:fill="FFEE94"/>
        </w:rPr>
        <w:t>ultrasound</w:t>
      </w:r>
      <w:r w:rsidRPr="006A6303">
        <w:rPr>
          <w:rFonts w:ascii="Arial" w:eastAsia="Times New Roman" w:hAnsi="Arial" w:cs="Arial"/>
          <w:color w:val="000000"/>
          <w:sz w:val="22"/>
          <w:szCs w:val="22"/>
        </w:rPr>
        <w:t> compared to those who were not (0% vs 27%, p=0.005). There was a significantly higher rate of anterior (77% vs 39%, p=0.025) and lateral (92% vs 50%, p=0.008) subpleural consolidations in those who required ICU level of care compared to those who did not. There was no significant difference in the presence of bilateral B-lines (67% vs 59%, p=0.62), presence of pleural effusions (19% vs 12%, p=0.48), or presence of posterior subpleural consolidations (67% vs 89%, p=0.18) in patients who did and did not require ICU admission respectively.</w:t>
      </w:r>
    </w:p>
    <w:p w:rsidR="006A6303" w:rsidRPr="006A6303" w:rsidRDefault="006A6303" w:rsidP="006A6303">
      <w:pPr>
        <w:spacing w:before="100" w:beforeAutospacing="1" w:after="100" w:afterAutospacing="1"/>
        <w:outlineLvl w:val="2"/>
        <w:rPr>
          <w:rFonts w:ascii="Arial" w:eastAsia="Times New Roman" w:hAnsi="Arial" w:cs="Arial"/>
          <w:b/>
          <w:bCs/>
          <w:color w:val="000000"/>
          <w:sz w:val="22"/>
          <w:szCs w:val="22"/>
        </w:rPr>
      </w:pPr>
      <w:r w:rsidRPr="006A6303">
        <w:rPr>
          <w:rFonts w:ascii="Arial" w:eastAsia="Times New Roman" w:hAnsi="Arial" w:cs="Arial"/>
          <w:b/>
          <w:bCs/>
          <w:color w:val="000000"/>
          <w:sz w:val="22"/>
          <w:szCs w:val="22"/>
        </w:rPr>
        <w:t>Conclusion</w:t>
      </w:r>
    </w:p>
    <w:p w:rsidR="006A6303" w:rsidRPr="006A6303" w:rsidRDefault="006A6303" w:rsidP="006A6303">
      <w:pPr>
        <w:rPr>
          <w:rFonts w:ascii="Arial" w:eastAsia="Times New Roman" w:hAnsi="Arial" w:cs="Arial"/>
          <w:color w:val="000000"/>
          <w:sz w:val="22"/>
          <w:szCs w:val="22"/>
        </w:rPr>
      </w:pPr>
      <w:r w:rsidRPr="006A6303">
        <w:rPr>
          <w:rFonts w:ascii="Arial" w:eastAsia="Times New Roman" w:hAnsi="Arial" w:cs="Arial"/>
          <w:color w:val="070706"/>
          <w:sz w:val="22"/>
          <w:szCs w:val="22"/>
          <w:shd w:val="clear" w:color="auto" w:fill="FFEE94"/>
        </w:rPr>
        <w:t>COVID</w:t>
      </w:r>
      <w:r w:rsidRPr="006A6303">
        <w:rPr>
          <w:rFonts w:ascii="Arial" w:eastAsia="Times New Roman" w:hAnsi="Arial" w:cs="Arial"/>
          <w:color w:val="000000"/>
          <w:sz w:val="22"/>
          <w:szCs w:val="22"/>
        </w:rPr>
        <w:t>-19 positive patients who later required ICU admission were found to have abnormal initial LUS lacking A-lines in over half of </w:t>
      </w:r>
      <w:r w:rsidRPr="006A6303">
        <w:rPr>
          <w:rFonts w:ascii="Arial" w:eastAsia="Times New Roman" w:hAnsi="Arial" w:cs="Arial"/>
          <w:color w:val="070706"/>
          <w:sz w:val="22"/>
          <w:szCs w:val="22"/>
          <w:shd w:val="clear" w:color="auto" w:fill="FFEE94"/>
        </w:rPr>
        <w:t>lung</w:t>
      </w:r>
      <w:r w:rsidRPr="006A6303">
        <w:rPr>
          <w:rFonts w:ascii="Arial" w:eastAsia="Times New Roman" w:hAnsi="Arial" w:cs="Arial"/>
          <w:color w:val="000000"/>
          <w:sz w:val="22"/>
          <w:szCs w:val="22"/>
        </w:rPr>
        <w:t> zones. The presence of anterior or lateral subpleural consolidations was associated with need for intensive care while posterior consolidations were not.</w:t>
      </w:r>
    </w:p>
    <w:p w:rsidR="006A6303" w:rsidRPr="006A6303" w:rsidRDefault="006A6303" w:rsidP="006A6303">
      <w:pPr>
        <w:rPr>
          <w:rFonts w:ascii="Arial" w:eastAsia="Times New Roman" w:hAnsi="Arial" w:cs="Arial"/>
          <w:sz w:val="22"/>
          <w:szCs w:val="22"/>
        </w:rPr>
      </w:pPr>
    </w:p>
    <w:p w:rsidR="006A6303" w:rsidRPr="006A6303" w:rsidRDefault="006A6303" w:rsidP="006A6303">
      <w:pPr>
        <w:rPr>
          <w:rFonts w:ascii="Arial" w:eastAsia="Times New Roman" w:hAnsi="Arial" w:cs="Arial"/>
          <w:b/>
          <w:bCs/>
          <w:sz w:val="22"/>
          <w:szCs w:val="22"/>
        </w:rPr>
      </w:pPr>
      <w:r w:rsidRPr="006A6303">
        <w:rPr>
          <w:rFonts w:ascii="Arial" w:eastAsia="Times New Roman" w:hAnsi="Arial" w:cs="Arial"/>
          <w:b/>
          <w:bCs/>
          <w:sz w:val="22"/>
          <w:szCs w:val="22"/>
        </w:rPr>
        <w:t>Biography</w:t>
      </w:r>
    </w:p>
    <w:p w:rsidR="006A6303" w:rsidRPr="006A6303" w:rsidRDefault="006A6303" w:rsidP="006A6303">
      <w:pPr>
        <w:rPr>
          <w:rFonts w:ascii="Arial" w:eastAsia="Times New Roman" w:hAnsi="Arial" w:cs="Arial"/>
          <w:sz w:val="22"/>
          <w:szCs w:val="22"/>
        </w:rPr>
      </w:pPr>
    </w:p>
    <w:p w:rsidR="006A6303" w:rsidRPr="006A6303" w:rsidRDefault="006A6303" w:rsidP="006A6303">
      <w:pPr>
        <w:rPr>
          <w:rFonts w:ascii="Arial" w:eastAsia="Times New Roman" w:hAnsi="Arial" w:cs="Arial"/>
          <w:sz w:val="22"/>
          <w:szCs w:val="22"/>
        </w:rPr>
      </w:pPr>
      <w:r w:rsidRPr="006A6303">
        <w:rPr>
          <w:rFonts w:ascii="Arial" w:eastAsia="Times New Roman" w:hAnsi="Arial" w:cs="Arial"/>
          <w:sz w:val="22"/>
          <w:szCs w:val="22"/>
        </w:rPr>
        <w:t xml:space="preserve">I am an Associate Professor at the Department of Emergency Medicine, at Stanford School of Medicine, California, Palo Alto. I am the Director of Point-of-care Ultrasound for the Emergency </w:t>
      </w:r>
      <w:r w:rsidRPr="006A6303">
        <w:rPr>
          <w:rFonts w:ascii="Arial" w:eastAsia="Times New Roman" w:hAnsi="Arial" w:cs="Arial"/>
          <w:sz w:val="22"/>
          <w:szCs w:val="22"/>
        </w:rPr>
        <w:lastRenderedPageBreak/>
        <w:t xml:space="preserve">Department and co-director for Stanford Health Care. My academic work has primarily focused on diagnostic POCUS. </w:t>
      </w:r>
    </w:p>
    <w:p w:rsidR="006A6303" w:rsidRPr="006A6303" w:rsidRDefault="006A6303" w:rsidP="006A6303">
      <w:pPr>
        <w:pStyle w:val="NormalWeb"/>
        <w:shd w:val="clear" w:color="auto" w:fill="FFFFFF"/>
        <w:rPr>
          <w:rFonts w:ascii="Arial" w:hAnsi="Arial" w:cs="Arial"/>
          <w:color w:val="000000" w:themeColor="text1"/>
          <w:sz w:val="22"/>
          <w:szCs w:val="22"/>
        </w:rPr>
      </w:pPr>
      <w:r w:rsidRPr="006A6303">
        <w:rPr>
          <w:rFonts w:ascii="Arial" w:hAnsi="Arial" w:cs="Arial"/>
          <w:color w:val="000000" w:themeColor="text1"/>
          <w:sz w:val="22"/>
          <w:szCs w:val="22"/>
        </w:rPr>
        <w:t>A leader in the biomedical revolution, Stanford Medicine has a long tradition of leadership in pioneering research, creative teaching protocols and effective clinical therapies. Our close proximity to the resources of the university — including the Schools of Business, Law, Humanities and Sciences, and Engineering, our seamless relationship with our affiliated adult and children’s hospitals, and our ongoing associations with the entrepreneurial endeavors of Silicon Valley, make us uniquely positioned to accelerate the pace at which new knowledge is translated into tangible health benefits.</w:t>
      </w:r>
    </w:p>
    <w:p w:rsidR="006A6303" w:rsidRPr="006A6303" w:rsidRDefault="006A6303" w:rsidP="006A6303">
      <w:pPr>
        <w:rPr>
          <w:rFonts w:ascii="Arial" w:eastAsia="Times New Roman" w:hAnsi="Arial" w:cs="Arial"/>
          <w:sz w:val="22"/>
          <w:szCs w:val="22"/>
        </w:rPr>
      </w:pPr>
    </w:p>
    <w:p w:rsidR="006A6303" w:rsidRDefault="006A6303" w:rsidP="006A6303">
      <w:pPr>
        <w:rPr>
          <w:rFonts w:ascii="Times New Roman" w:eastAsia="Times New Roman" w:hAnsi="Times New Roman" w:cs="Times New Roman"/>
        </w:rPr>
      </w:pPr>
    </w:p>
    <w:p w:rsidR="006A6303" w:rsidRDefault="006A6303" w:rsidP="006A6303">
      <w:pPr>
        <w:rPr>
          <w:rFonts w:ascii="Times New Roman" w:eastAsia="Times New Roman" w:hAnsi="Times New Roman" w:cs="Times New Roman"/>
        </w:rPr>
      </w:pPr>
    </w:p>
    <w:p w:rsidR="006A6303" w:rsidRDefault="006A6303" w:rsidP="006A6303">
      <w:pPr>
        <w:rPr>
          <w:rFonts w:ascii="Times New Roman" w:eastAsia="Times New Roman" w:hAnsi="Times New Roman" w:cs="Times New Roman"/>
        </w:rPr>
      </w:pPr>
    </w:p>
    <w:p w:rsidR="006F22B5" w:rsidRDefault="00174FDD"/>
    <w:sectPr w:rsidR="006F22B5" w:rsidSect="00C12C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1ABC"/>
    <w:rsid w:val="00174FDD"/>
    <w:rsid w:val="002E7218"/>
    <w:rsid w:val="006A6303"/>
    <w:rsid w:val="00C12C4B"/>
    <w:rsid w:val="00D51ABC"/>
    <w:rsid w:val="00FA6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EE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630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A6303"/>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A6303"/>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A6303"/>
  </w:style>
  <w:style w:type="paragraph" w:styleId="NormalWeb">
    <w:name w:val="Normal (Web)"/>
    <w:basedOn w:val="Normal"/>
    <w:uiPriority w:val="99"/>
    <w:semiHidden/>
    <w:unhideWhenUsed/>
    <w:rsid w:val="006A630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A63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A6303"/>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A6303"/>
    <w:pPr>
      <w:spacing w:before="100" w:beforeAutospacing="1" w:after="100" w:afterAutospacing="1"/>
    </w:pPr>
    <w:rPr>
      <w:rFonts w:ascii="Times New Roman" w:eastAsia="Times New Roman" w:hAnsi="Times New Roman" w:cs="Times New Roman"/>
    </w:rPr>
  </w:style>
  <w:style w:type="character" w:customStyle="1" w:styleId="Heading3Char">
    <w:name w:val="Heading 3 Char"/>
    <w:basedOn w:val="DefaultParagraphFont"/>
    <w:link w:val="Heading3"/>
    <w:uiPriority w:val="9"/>
    <w:rsid w:val="006A6303"/>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6A6303"/>
  </w:style>
  <w:style w:type="paragraph" w:styleId="NormalWeb">
    <w:name w:val="Normal (Web)"/>
    <w:basedOn w:val="Normal"/>
    <w:uiPriority w:val="99"/>
    <w:semiHidden/>
    <w:unhideWhenUsed/>
    <w:rsid w:val="006A6303"/>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6A63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84479">
      <w:bodyDiv w:val="1"/>
      <w:marLeft w:val="0"/>
      <w:marRight w:val="0"/>
      <w:marTop w:val="0"/>
      <w:marBottom w:val="0"/>
      <w:divBdr>
        <w:top w:val="none" w:sz="0" w:space="0" w:color="auto"/>
        <w:left w:val="none" w:sz="0" w:space="0" w:color="auto"/>
        <w:bottom w:val="none" w:sz="0" w:space="0" w:color="auto"/>
        <w:right w:val="none" w:sz="0" w:space="0" w:color="auto"/>
      </w:divBdr>
    </w:div>
    <w:div w:id="170340960">
      <w:bodyDiv w:val="1"/>
      <w:marLeft w:val="0"/>
      <w:marRight w:val="0"/>
      <w:marTop w:val="0"/>
      <w:marBottom w:val="0"/>
      <w:divBdr>
        <w:top w:val="none" w:sz="0" w:space="0" w:color="auto"/>
        <w:left w:val="none" w:sz="0" w:space="0" w:color="auto"/>
        <w:bottom w:val="none" w:sz="0" w:space="0" w:color="auto"/>
        <w:right w:val="none" w:sz="0" w:space="0" w:color="auto"/>
      </w:divBdr>
    </w:div>
    <w:div w:id="618147062">
      <w:bodyDiv w:val="1"/>
      <w:marLeft w:val="0"/>
      <w:marRight w:val="0"/>
      <w:marTop w:val="0"/>
      <w:marBottom w:val="0"/>
      <w:divBdr>
        <w:top w:val="none" w:sz="0" w:space="0" w:color="auto"/>
        <w:left w:val="none" w:sz="0" w:space="0" w:color="auto"/>
        <w:bottom w:val="none" w:sz="0" w:space="0" w:color="auto"/>
        <w:right w:val="none" w:sz="0" w:space="0" w:color="auto"/>
      </w:divBdr>
      <w:divsChild>
        <w:div w:id="944463358">
          <w:marLeft w:val="0"/>
          <w:marRight w:val="0"/>
          <w:marTop w:val="0"/>
          <w:marBottom w:val="0"/>
          <w:divBdr>
            <w:top w:val="none" w:sz="0" w:space="0" w:color="auto"/>
            <w:left w:val="none" w:sz="0" w:space="0" w:color="auto"/>
            <w:bottom w:val="none" w:sz="0" w:space="0" w:color="auto"/>
            <w:right w:val="none" w:sz="0" w:space="0" w:color="auto"/>
          </w:divBdr>
          <w:divsChild>
            <w:div w:id="326373438">
              <w:marLeft w:val="0"/>
              <w:marRight w:val="0"/>
              <w:marTop w:val="0"/>
              <w:marBottom w:val="0"/>
              <w:divBdr>
                <w:top w:val="none" w:sz="0" w:space="0" w:color="auto"/>
                <w:left w:val="none" w:sz="0" w:space="0" w:color="auto"/>
                <w:bottom w:val="none" w:sz="0" w:space="0" w:color="auto"/>
                <w:right w:val="none" w:sz="0" w:space="0" w:color="auto"/>
              </w:divBdr>
            </w:div>
          </w:divsChild>
        </w:div>
        <w:div w:id="805439557">
          <w:marLeft w:val="0"/>
          <w:marRight w:val="0"/>
          <w:marTop w:val="0"/>
          <w:marBottom w:val="0"/>
          <w:divBdr>
            <w:top w:val="none" w:sz="0" w:space="0" w:color="auto"/>
            <w:left w:val="none" w:sz="0" w:space="0" w:color="auto"/>
            <w:bottom w:val="none" w:sz="0" w:space="0" w:color="auto"/>
            <w:right w:val="none" w:sz="0" w:space="0" w:color="auto"/>
          </w:divBdr>
          <w:divsChild>
            <w:div w:id="215507369">
              <w:marLeft w:val="0"/>
              <w:marRight w:val="0"/>
              <w:marTop w:val="0"/>
              <w:marBottom w:val="0"/>
              <w:divBdr>
                <w:top w:val="none" w:sz="0" w:space="0" w:color="auto"/>
                <w:left w:val="none" w:sz="0" w:space="0" w:color="auto"/>
                <w:bottom w:val="none" w:sz="0" w:space="0" w:color="auto"/>
                <w:right w:val="none" w:sz="0" w:space="0" w:color="auto"/>
              </w:divBdr>
            </w:div>
          </w:divsChild>
        </w:div>
        <w:div w:id="82920396">
          <w:marLeft w:val="0"/>
          <w:marRight w:val="0"/>
          <w:marTop w:val="0"/>
          <w:marBottom w:val="0"/>
          <w:divBdr>
            <w:top w:val="none" w:sz="0" w:space="0" w:color="auto"/>
            <w:left w:val="none" w:sz="0" w:space="0" w:color="auto"/>
            <w:bottom w:val="none" w:sz="0" w:space="0" w:color="auto"/>
            <w:right w:val="none" w:sz="0" w:space="0" w:color="auto"/>
          </w:divBdr>
          <w:divsChild>
            <w:div w:id="1089470924">
              <w:marLeft w:val="0"/>
              <w:marRight w:val="0"/>
              <w:marTop w:val="0"/>
              <w:marBottom w:val="0"/>
              <w:divBdr>
                <w:top w:val="none" w:sz="0" w:space="0" w:color="auto"/>
                <w:left w:val="none" w:sz="0" w:space="0" w:color="auto"/>
                <w:bottom w:val="none" w:sz="0" w:space="0" w:color="auto"/>
                <w:right w:val="none" w:sz="0" w:space="0" w:color="auto"/>
              </w:divBdr>
            </w:div>
          </w:divsChild>
        </w:div>
        <w:div w:id="612439186">
          <w:marLeft w:val="0"/>
          <w:marRight w:val="0"/>
          <w:marTop w:val="0"/>
          <w:marBottom w:val="0"/>
          <w:divBdr>
            <w:top w:val="none" w:sz="0" w:space="0" w:color="auto"/>
            <w:left w:val="none" w:sz="0" w:space="0" w:color="auto"/>
            <w:bottom w:val="none" w:sz="0" w:space="0" w:color="auto"/>
            <w:right w:val="none" w:sz="0" w:space="0" w:color="auto"/>
          </w:divBdr>
          <w:divsChild>
            <w:div w:id="213617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21542">
      <w:bodyDiv w:val="1"/>
      <w:marLeft w:val="0"/>
      <w:marRight w:val="0"/>
      <w:marTop w:val="0"/>
      <w:marBottom w:val="0"/>
      <w:divBdr>
        <w:top w:val="none" w:sz="0" w:space="0" w:color="auto"/>
        <w:left w:val="none" w:sz="0" w:space="0" w:color="auto"/>
        <w:bottom w:val="none" w:sz="0" w:space="0" w:color="auto"/>
        <w:right w:val="none" w:sz="0" w:space="0" w:color="auto"/>
      </w:divBdr>
    </w:div>
    <w:div w:id="135961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Shanthi\Emergency%20Medcine%202022\Abstracts\Viveta%20Lobo%20-Abstrac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Viveta Lobo -Abstract.dotx</Template>
  <TotalTime>0</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Emergency &amp; Acutecare Medicine</dc:creator>
  <cp:lastModifiedBy>Emergency &amp; Acutecare Medicine</cp:lastModifiedBy>
  <cp:revision>2</cp:revision>
  <dcterms:created xsi:type="dcterms:W3CDTF">2022-05-21T07:05:00Z</dcterms:created>
  <dcterms:modified xsi:type="dcterms:W3CDTF">2022-05-21T07:05:00Z</dcterms:modified>
</cp:coreProperties>
</file>