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5CE792" w14:textId="7591E73E" w:rsidR="00454BB4" w:rsidRPr="00454BB4" w:rsidRDefault="00454BB4" w:rsidP="00454BB4">
      <w:pPr>
        <w:pStyle w:val="NormalWeb"/>
        <w:rPr>
          <w:rFonts w:ascii="Calibri" w:hAnsi="Calibri" w:cs="Calibri"/>
          <w:b/>
          <w:color w:val="000000"/>
          <w:sz w:val="22"/>
          <w:szCs w:val="22"/>
        </w:rPr>
      </w:pPr>
      <w:r w:rsidRPr="00454BB4">
        <w:rPr>
          <w:rFonts w:ascii="Calibri" w:hAnsi="Calibri" w:cs="Calibri"/>
          <w:b/>
          <w:color w:val="000000"/>
          <w:sz w:val="22"/>
          <w:szCs w:val="22"/>
        </w:rPr>
        <w:t>Title Patient Engagement during COVID 19</w:t>
      </w:r>
    </w:p>
    <w:p w14:paraId="7961301A" w14:textId="7960CB3F" w:rsidR="00454BB4" w:rsidRDefault="00454BB4" w:rsidP="00454BB4">
      <w:pPr>
        <w:pStyle w:val="NormalWeb"/>
        <w:rPr>
          <w:rFonts w:ascii="Calibri" w:hAnsi="Calibri" w:cs="Calibri"/>
          <w:color w:val="000000"/>
          <w:sz w:val="22"/>
          <w:szCs w:val="22"/>
        </w:rPr>
      </w:pPr>
      <w:proofErr w:type="gramStart"/>
      <w:r>
        <w:rPr>
          <w:rFonts w:ascii="Calibri" w:hAnsi="Calibri" w:cs="Calibri"/>
          <w:color w:val="000000"/>
          <w:sz w:val="22"/>
          <w:szCs w:val="22"/>
        </w:rPr>
        <w:t>Name :</w:t>
      </w:r>
      <w:proofErr w:type="gramEnd"/>
      <w:r>
        <w:rPr>
          <w:rFonts w:ascii="Calibri" w:hAnsi="Calibri" w:cs="Calibri"/>
          <w:color w:val="000000"/>
          <w:sz w:val="22"/>
          <w:szCs w:val="22"/>
        </w:rPr>
        <w:t xml:space="preserve"> </w:t>
      </w:r>
      <w:bookmarkStart w:id="0" w:name="_GoBack"/>
      <w:proofErr w:type="spellStart"/>
      <w:r>
        <w:rPr>
          <w:rFonts w:ascii="Calibri" w:hAnsi="Calibri" w:cs="Calibri"/>
          <w:color w:val="000000"/>
          <w:sz w:val="22"/>
          <w:szCs w:val="22"/>
        </w:rPr>
        <w:t>Mayada</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Alkhakany</w:t>
      </w:r>
      <w:bookmarkEnd w:id="0"/>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Boehringer</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Ingelheim</w:t>
      </w:r>
      <w:proofErr w:type="spellEnd"/>
      <w:r>
        <w:rPr>
          <w:rFonts w:ascii="Calibri" w:hAnsi="Calibri" w:cs="Calibri"/>
          <w:color w:val="000000"/>
          <w:sz w:val="22"/>
          <w:szCs w:val="22"/>
        </w:rPr>
        <w:t xml:space="preserve">, </w:t>
      </w:r>
      <w:r w:rsidRPr="00454BB4">
        <w:rPr>
          <w:rFonts w:ascii="Calibri" w:hAnsi="Calibri" w:cs="Calibri"/>
          <w:color w:val="000000"/>
          <w:sz w:val="22"/>
          <w:szCs w:val="22"/>
        </w:rPr>
        <w:t>International Society of Pharmacovigilance/</w:t>
      </w:r>
      <w:proofErr w:type="spellStart"/>
      <w:r w:rsidRPr="00454BB4">
        <w:rPr>
          <w:rFonts w:ascii="Calibri" w:hAnsi="Calibri" w:cs="Calibri"/>
          <w:color w:val="000000"/>
          <w:sz w:val="22"/>
          <w:szCs w:val="22"/>
        </w:rPr>
        <w:t>ISoP</w:t>
      </w:r>
      <w:proofErr w:type="spellEnd"/>
      <w:r>
        <w:rPr>
          <w:rFonts w:ascii="Calibri" w:hAnsi="Calibri" w:cs="Calibri"/>
          <w:color w:val="000000"/>
          <w:sz w:val="22"/>
          <w:szCs w:val="22"/>
        </w:rPr>
        <w:t>, Germany</w:t>
      </w:r>
    </w:p>
    <w:p w14:paraId="510C8A47" w14:textId="60E66859" w:rsidR="009B15F2" w:rsidRDefault="009B15F2" w:rsidP="00454BB4">
      <w:pPr>
        <w:pStyle w:val="NormalWeb"/>
        <w:rPr>
          <w:rFonts w:ascii="Calibri" w:hAnsi="Calibri" w:cs="Calibri"/>
          <w:color w:val="000000"/>
          <w:sz w:val="22"/>
          <w:szCs w:val="22"/>
        </w:rPr>
      </w:pPr>
      <w:r>
        <w:rPr>
          <w:rFonts w:ascii="Calibri" w:hAnsi="Calibri" w:cs="Calibri"/>
          <w:color w:val="000000"/>
          <w:sz w:val="22"/>
          <w:szCs w:val="22"/>
        </w:rPr>
        <w:t xml:space="preserve">Abstract </w:t>
      </w:r>
    </w:p>
    <w:p w14:paraId="21209DE7" w14:textId="444BB00B" w:rsidR="0052129A" w:rsidRDefault="0052129A" w:rsidP="0052129A">
      <w:pPr>
        <w:pStyle w:val="NormalWeb"/>
        <w:spacing w:before="0" w:beforeAutospacing="0" w:after="160" w:afterAutospacing="0"/>
      </w:pPr>
      <w:r>
        <w:rPr>
          <w:rFonts w:ascii="Calibri" w:hAnsi="Calibri" w:cs="Calibri"/>
          <w:color w:val="000000"/>
          <w:sz w:val="22"/>
          <w:szCs w:val="22"/>
        </w:rPr>
        <w:t xml:space="preserve">WHO declared COVID 19 as a pandemic on March 11 </w:t>
      </w:r>
      <w:proofErr w:type="gramStart"/>
      <w:r>
        <w:rPr>
          <w:rFonts w:ascii="Calibri" w:hAnsi="Calibri" w:cs="Calibri"/>
          <w:color w:val="000000"/>
          <w:sz w:val="22"/>
          <w:szCs w:val="22"/>
        </w:rPr>
        <w:t>2020.</w:t>
      </w:r>
      <w:proofErr w:type="gramEnd"/>
      <w:r>
        <w:rPr>
          <w:rFonts w:ascii="Calibri" w:hAnsi="Calibri" w:cs="Calibri"/>
          <w:color w:val="000000"/>
          <w:sz w:val="22"/>
          <w:szCs w:val="22"/>
        </w:rPr>
        <w:t xml:space="preserve"> With more than 174 million confirmed cases and 3.6 death cases reported in June 2021. The pandemic has had a major impact on the healthcare system and on the life of everyone in the world. All the traditional methods and tools had been changed to overcome this world crisis. Thus, patient engagement has been impacted </w:t>
      </w:r>
      <w:r w:rsidR="00A53EC2">
        <w:rPr>
          <w:rFonts w:ascii="Calibri" w:hAnsi="Calibri" w:cs="Calibri"/>
          <w:color w:val="000000"/>
          <w:sz w:val="22"/>
          <w:szCs w:val="22"/>
        </w:rPr>
        <w:t xml:space="preserve">dramatically. </w:t>
      </w:r>
      <w:proofErr w:type="spellStart"/>
      <w:proofErr w:type="gramStart"/>
      <w:r w:rsidR="00A53EC2">
        <w:rPr>
          <w:rFonts w:ascii="Calibri" w:hAnsi="Calibri" w:cs="Calibri"/>
          <w:color w:val="000000"/>
          <w:sz w:val="22"/>
          <w:szCs w:val="22"/>
        </w:rPr>
        <w:t>i</w:t>
      </w:r>
      <w:r>
        <w:rPr>
          <w:rFonts w:ascii="Calibri" w:hAnsi="Calibri" w:cs="Calibri"/>
          <w:color w:val="000000"/>
          <w:sz w:val="22"/>
          <w:szCs w:val="22"/>
        </w:rPr>
        <w:t>.e</w:t>
      </w:r>
      <w:proofErr w:type="spellEnd"/>
      <w:r>
        <w:rPr>
          <w:rFonts w:ascii="Calibri" w:hAnsi="Calibri" w:cs="Calibri"/>
          <w:color w:val="000000"/>
          <w:sz w:val="22"/>
          <w:szCs w:val="22"/>
        </w:rPr>
        <w:t xml:space="preserve"> ,</w:t>
      </w:r>
      <w:proofErr w:type="gramEnd"/>
      <w:r>
        <w:rPr>
          <w:rFonts w:ascii="Calibri" w:hAnsi="Calibri" w:cs="Calibri"/>
          <w:color w:val="000000"/>
          <w:sz w:val="22"/>
          <w:szCs w:val="22"/>
        </w:rPr>
        <w:t xml:space="preserve"> the engagement between healthcare providers and patients or caregivers have changed from clinic visit to telemedicine, and hospitals have implemented restrictions on inpatient’s visit. Additionally, much of the research on the different disease areas had been postponed </w:t>
      </w:r>
      <w:r w:rsidR="00A53EC2">
        <w:rPr>
          <w:rFonts w:ascii="Calibri" w:hAnsi="Calibri" w:cs="Calibri"/>
          <w:color w:val="000000"/>
          <w:sz w:val="22"/>
          <w:szCs w:val="22"/>
        </w:rPr>
        <w:t>prioritizing</w:t>
      </w:r>
      <w:r>
        <w:rPr>
          <w:rFonts w:ascii="Calibri" w:hAnsi="Calibri" w:cs="Calibri"/>
          <w:color w:val="000000"/>
          <w:sz w:val="22"/>
          <w:szCs w:val="22"/>
        </w:rPr>
        <w:t xml:space="preserve"> the treatment of the COVID 19. Most of the patient organization and activities were put on hold. </w:t>
      </w:r>
    </w:p>
    <w:p w14:paraId="64B44B00" w14:textId="7B30B386" w:rsidR="000847F5" w:rsidRDefault="0052129A" w:rsidP="00906A2D">
      <w:pPr>
        <w:pStyle w:val="NormalWeb"/>
        <w:spacing w:before="0" w:beforeAutospacing="0" w:after="160" w:afterAutospacing="0"/>
        <w:rPr>
          <w:rFonts w:ascii="Calibri" w:hAnsi="Calibri" w:cs="Calibri"/>
          <w:color w:val="000000"/>
          <w:sz w:val="22"/>
          <w:szCs w:val="22"/>
        </w:rPr>
      </w:pPr>
      <w:r>
        <w:rPr>
          <w:rFonts w:ascii="Calibri" w:hAnsi="Calibri" w:cs="Calibri"/>
          <w:color w:val="000000"/>
          <w:sz w:val="22"/>
          <w:szCs w:val="22"/>
        </w:rPr>
        <w:t xml:space="preserve">Different types of engagement have been introduced which have had positive and negative impacts on the patient in the treatment journey. The healthcare system was not well prepared to handle the challenges involving the patients during the pandemic Although, the healthcare providers along with technology companies and pharmaceutical companies tried to react and take an action to ensure that the patients will be able to receive a minimum care and overcome any challenges with the supply  of medicines </w:t>
      </w:r>
    </w:p>
    <w:p w14:paraId="0DB206F8" w14:textId="77777777" w:rsidR="00454BB4" w:rsidRPr="00454BB4" w:rsidRDefault="00454BB4" w:rsidP="00454BB4">
      <w:pPr>
        <w:pStyle w:val="NormalWeb"/>
        <w:spacing w:before="0" w:beforeAutospacing="0" w:after="160" w:afterAutospacing="0"/>
        <w:rPr>
          <w:rFonts w:ascii="Calibri" w:hAnsi="Calibri" w:cs="Calibri"/>
          <w:b/>
          <w:color w:val="000000"/>
          <w:sz w:val="22"/>
          <w:szCs w:val="22"/>
        </w:rPr>
      </w:pPr>
      <w:r w:rsidRPr="00454BB4">
        <w:rPr>
          <w:rFonts w:ascii="Calibri" w:hAnsi="Calibri" w:cs="Calibri"/>
          <w:b/>
          <w:color w:val="000000"/>
          <w:sz w:val="22"/>
          <w:szCs w:val="22"/>
        </w:rPr>
        <w:t>Bio</w:t>
      </w:r>
    </w:p>
    <w:p w14:paraId="0A212CA5" w14:textId="01C1FEE9" w:rsidR="00454BB4" w:rsidRPr="00454BB4" w:rsidRDefault="00454BB4" w:rsidP="00454BB4">
      <w:pPr>
        <w:pStyle w:val="NormalWeb"/>
        <w:spacing w:before="0" w:beforeAutospacing="0" w:after="160" w:afterAutospacing="0"/>
        <w:rPr>
          <w:rFonts w:ascii="Calibri" w:hAnsi="Calibri" w:cs="Calibri"/>
          <w:color w:val="000000"/>
          <w:sz w:val="22"/>
          <w:szCs w:val="22"/>
        </w:rPr>
      </w:pPr>
      <w:r w:rsidRPr="00454BB4">
        <w:rPr>
          <w:rFonts w:ascii="Calibri" w:hAnsi="Calibri" w:cs="Calibri"/>
          <w:color w:val="000000"/>
          <w:sz w:val="22"/>
          <w:szCs w:val="22"/>
        </w:rPr>
        <w:t xml:space="preserve">Dr. </w:t>
      </w:r>
      <w:proofErr w:type="spellStart"/>
      <w:r w:rsidRPr="00454BB4">
        <w:rPr>
          <w:rFonts w:ascii="Calibri" w:hAnsi="Calibri" w:cs="Calibri"/>
          <w:color w:val="000000"/>
          <w:sz w:val="22"/>
          <w:szCs w:val="22"/>
        </w:rPr>
        <w:t>Mayada</w:t>
      </w:r>
      <w:proofErr w:type="spellEnd"/>
      <w:r w:rsidRPr="00454BB4">
        <w:rPr>
          <w:rFonts w:ascii="Calibri" w:hAnsi="Calibri" w:cs="Calibri"/>
          <w:color w:val="000000"/>
          <w:sz w:val="22"/>
          <w:szCs w:val="22"/>
        </w:rPr>
        <w:t xml:space="preserve"> </w:t>
      </w:r>
      <w:proofErr w:type="spellStart"/>
      <w:r w:rsidRPr="00454BB4">
        <w:rPr>
          <w:rFonts w:ascii="Calibri" w:hAnsi="Calibri" w:cs="Calibri"/>
          <w:color w:val="000000"/>
          <w:sz w:val="22"/>
          <w:szCs w:val="22"/>
        </w:rPr>
        <w:t>Alkhakany</w:t>
      </w:r>
      <w:proofErr w:type="spellEnd"/>
      <w:r w:rsidRPr="00454BB4">
        <w:rPr>
          <w:rFonts w:ascii="Calibri" w:hAnsi="Calibri" w:cs="Calibri"/>
          <w:color w:val="000000"/>
          <w:sz w:val="22"/>
          <w:szCs w:val="22"/>
        </w:rPr>
        <w:t xml:space="preserve"> has more than 15 years of experience working within various sectors of the pharmaceutical industry having worked across a range of key areas including clinical operation, medical affairs, and </w:t>
      </w:r>
      <w:proofErr w:type="spellStart"/>
      <w:r w:rsidRPr="00454BB4">
        <w:rPr>
          <w:rFonts w:ascii="Calibri" w:hAnsi="Calibri" w:cs="Calibri"/>
          <w:color w:val="000000"/>
          <w:sz w:val="22"/>
          <w:szCs w:val="22"/>
        </w:rPr>
        <w:t>pharmacovigilance</w:t>
      </w:r>
      <w:proofErr w:type="spellEnd"/>
      <w:r w:rsidRPr="00454BB4">
        <w:rPr>
          <w:rFonts w:ascii="Calibri" w:hAnsi="Calibri" w:cs="Calibri"/>
          <w:color w:val="000000"/>
          <w:sz w:val="22"/>
          <w:szCs w:val="22"/>
        </w:rPr>
        <w:t xml:space="preserve"> functions. </w:t>
      </w:r>
    </w:p>
    <w:p w14:paraId="35BA6718" w14:textId="77777777" w:rsidR="00454BB4" w:rsidRPr="00454BB4" w:rsidRDefault="00454BB4" w:rsidP="00454BB4">
      <w:pPr>
        <w:pStyle w:val="NormalWeb"/>
        <w:rPr>
          <w:rFonts w:ascii="Calibri" w:hAnsi="Calibri" w:cs="Calibri"/>
          <w:color w:val="000000"/>
          <w:sz w:val="22"/>
          <w:szCs w:val="22"/>
        </w:rPr>
      </w:pPr>
      <w:r w:rsidRPr="00454BB4">
        <w:rPr>
          <w:rFonts w:ascii="Calibri" w:hAnsi="Calibri" w:cs="Calibri"/>
          <w:color w:val="000000"/>
          <w:sz w:val="22"/>
          <w:szCs w:val="22"/>
        </w:rPr>
        <w:t xml:space="preserve">She was the head of </w:t>
      </w:r>
      <w:proofErr w:type="spellStart"/>
      <w:r w:rsidRPr="00454BB4">
        <w:rPr>
          <w:rFonts w:ascii="Calibri" w:hAnsi="Calibri" w:cs="Calibri"/>
          <w:color w:val="000000"/>
          <w:sz w:val="22"/>
          <w:szCs w:val="22"/>
        </w:rPr>
        <w:t>pharmacovigilance</w:t>
      </w:r>
      <w:proofErr w:type="spellEnd"/>
      <w:r w:rsidRPr="00454BB4">
        <w:rPr>
          <w:rFonts w:ascii="Calibri" w:hAnsi="Calibri" w:cs="Calibri"/>
          <w:color w:val="000000"/>
          <w:sz w:val="22"/>
          <w:szCs w:val="22"/>
        </w:rPr>
        <w:t xml:space="preserve"> in Middle East, Turkey, and Africa (2014-2019) in </w:t>
      </w:r>
      <w:proofErr w:type="spellStart"/>
      <w:r w:rsidRPr="00454BB4">
        <w:rPr>
          <w:rFonts w:ascii="Calibri" w:hAnsi="Calibri" w:cs="Calibri"/>
          <w:color w:val="000000"/>
          <w:sz w:val="22"/>
          <w:szCs w:val="22"/>
        </w:rPr>
        <w:t>Boehringer</w:t>
      </w:r>
      <w:proofErr w:type="spellEnd"/>
      <w:r w:rsidRPr="00454BB4">
        <w:rPr>
          <w:rFonts w:ascii="Calibri" w:hAnsi="Calibri" w:cs="Calibri"/>
          <w:color w:val="000000"/>
          <w:sz w:val="22"/>
          <w:szCs w:val="22"/>
        </w:rPr>
        <w:t xml:space="preserve"> </w:t>
      </w:r>
      <w:proofErr w:type="spellStart"/>
      <w:r w:rsidRPr="00454BB4">
        <w:rPr>
          <w:rFonts w:ascii="Calibri" w:hAnsi="Calibri" w:cs="Calibri"/>
          <w:color w:val="000000"/>
          <w:sz w:val="22"/>
          <w:szCs w:val="22"/>
        </w:rPr>
        <w:t>Ingelheim</w:t>
      </w:r>
      <w:proofErr w:type="spellEnd"/>
      <w:r w:rsidRPr="00454BB4">
        <w:rPr>
          <w:rFonts w:ascii="Calibri" w:hAnsi="Calibri" w:cs="Calibri"/>
          <w:color w:val="000000"/>
          <w:sz w:val="22"/>
          <w:szCs w:val="22"/>
        </w:rPr>
        <w:t xml:space="preserve">. She was an associate director of </w:t>
      </w:r>
      <w:proofErr w:type="spellStart"/>
      <w:r w:rsidRPr="00454BB4">
        <w:rPr>
          <w:rFonts w:ascii="Calibri" w:hAnsi="Calibri" w:cs="Calibri"/>
          <w:color w:val="000000"/>
          <w:sz w:val="22"/>
          <w:szCs w:val="22"/>
        </w:rPr>
        <w:t>pharmacovigilance</w:t>
      </w:r>
      <w:proofErr w:type="spellEnd"/>
      <w:r w:rsidRPr="00454BB4">
        <w:rPr>
          <w:rFonts w:ascii="Calibri" w:hAnsi="Calibri" w:cs="Calibri"/>
          <w:color w:val="000000"/>
          <w:sz w:val="22"/>
          <w:szCs w:val="22"/>
        </w:rPr>
        <w:t xml:space="preserve"> in Merck Sharp &amp; Dome (2010-2014). She’s </w:t>
      </w:r>
      <w:proofErr w:type="spellStart"/>
      <w:r w:rsidRPr="00454BB4">
        <w:rPr>
          <w:rFonts w:ascii="Calibri" w:hAnsi="Calibri" w:cs="Calibri"/>
          <w:color w:val="000000"/>
          <w:sz w:val="22"/>
          <w:szCs w:val="22"/>
        </w:rPr>
        <w:t>pharmacovigilance</w:t>
      </w:r>
      <w:proofErr w:type="spellEnd"/>
      <w:r w:rsidRPr="00454BB4">
        <w:rPr>
          <w:rFonts w:ascii="Calibri" w:hAnsi="Calibri" w:cs="Calibri"/>
          <w:color w:val="000000"/>
          <w:sz w:val="22"/>
          <w:szCs w:val="22"/>
        </w:rPr>
        <w:t>, policy making and leadership consultant.</w:t>
      </w:r>
    </w:p>
    <w:p w14:paraId="4B11E38D" w14:textId="77777777" w:rsidR="00454BB4" w:rsidRPr="00454BB4" w:rsidRDefault="00454BB4" w:rsidP="00454BB4">
      <w:pPr>
        <w:pStyle w:val="NormalWeb"/>
        <w:rPr>
          <w:rFonts w:ascii="Calibri" w:hAnsi="Calibri" w:cs="Calibri"/>
          <w:color w:val="000000"/>
          <w:sz w:val="22"/>
          <w:szCs w:val="22"/>
        </w:rPr>
      </w:pPr>
      <w:r w:rsidRPr="00454BB4">
        <w:rPr>
          <w:rFonts w:ascii="Calibri" w:hAnsi="Calibri" w:cs="Calibri"/>
          <w:color w:val="000000"/>
          <w:sz w:val="22"/>
          <w:szCs w:val="22"/>
        </w:rPr>
        <w:t xml:space="preserve">Dr. </w:t>
      </w:r>
      <w:proofErr w:type="spellStart"/>
      <w:r w:rsidRPr="00454BB4">
        <w:rPr>
          <w:rFonts w:ascii="Calibri" w:hAnsi="Calibri" w:cs="Calibri"/>
          <w:color w:val="000000"/>
          <w:sz w:val="22"/>
          <w:szCs w:val="22"/>
        </w:rPr>
        <w:t>Mayada</w:t>
      </w:r>
      <w:proofErr w:type="spellEnd"/>
      <w:r w:rsidRPr="00454BB4">
        <w:rPr>
          <w:rFonts w:ascii="Calibri" w:hAnsi="Calibri" w:cs="Calibri"/>
          <w:color w:val="000000"/>
          <w:sz w:val="22"/>
          <w:szCs w:val="22"/>
        </w:rPr>
        <w:t xml:space="preserve"> is a member of </w:t>
      </w:r>
      <w:proofErr w:type="spellStart"/>
      <w:r w:rsidRPr="00454BB4">
        <w:rPr>
          <w:rFonts w:ascii="Calibri" w:hAnsi="Calibri" w:cs="Calibri"/>
          <w:color w:val="000000"/>
          <w:sz w:val="22"/>
          <w:szCs w:val="22"/>
        </w:rPr>
        <w:t>ISoP</w:t>
      </w:r>
      <w:proofErr w:type="spellEnd"/>
      <w:r w:rsidRPr="00454BB4">
        <w:rPr>
          <w:rFonts w:ascii="Calibri" w:hAnsi="Calibri" w:cs="Calibri"/>
          <w:color w:val="000000"/>
          <w:sz w:val="22"/>
          <w:szCs w:val="22"/>
        </w:rPr>
        <w:t xml:space="preserve"> (International Society of Pharmacovigilance), founder and Chair of </w:t>
      </w:r>
      <w:proofErr w:type="spellStart"/>
      <w:r w:rsidRPr="00454BB4">
        <w:rPr>
          <w:rFonts w:ascii="Calibri" w:hAnsi="Calibri" w:cs="Calibri"/>
          <w:color w:val="000000"/>
          <w:sz w:val="22"/>
          <w:szCs w:val="22"/>
        </w:rPr>
        <w:t>ISoP</w:t>
      </w:r>
      <w:proofErr w:type="spellEnd"/>
      <w:r w:rsidRPr="00454BB4">
        <w:rPr>
          <w:rFonts w:ascii="Calibri" w:hAnsi="Calibri" w:cs="Calibri"/>
          <w:color w:val="000000"/>
          <w:sz w:val="22"/>
          <w:szCs w:val="22"/>
        </w:rPr>
        <w:t xml:space="preserve"> patient engagement group.  </w:t>
      </w:r>
      <w:proofErr w:type="gramStart"/>
      <w:r w:rsidRPr="00454BB4">
        <w:rPr>
          <w:rFonts w:ascii="Calibri" w:hAnsi="Calibri" w:cs="Calibri"/>
          <w:color w:val="000000"/>
          <w:sz w:val="22"/>
          <w:szCs w:val="22"/>
        </w:rPr>
        <w:t xml:space="preserve">Co-founder and ex-president of </w:t>
      </w:r>
      <w:proofErr w:type="spellStart"/>
      <w:r w:rsidRPr="00454BB4">
        <w:rPr>
          <w:rFonts w:ascii="Calibri" w:hAnsi="Calibri" w:cs="Calibri"/>
          <w:color w:val="000000"/>
          <w:sz w:val="22"/>
          <w:szCs w:val="22"/>
        </w:rPr>
        <w:t>ISoP</w:t>
      </w:r>
      <w:proofErr w:type="spellEnd"/>
      <w:r w:rsidRPr="00454BB4">
        <w:rPr>
          <w:rFonts w:ascii="Calibri" w:hAnsi="Calibri" w:cs="Calibri"/>
          <w:color w:val="000000"/>
          <w:sz w:val="22"/>
          <w:szCs w:val="22"/>
        </w:rPr>
        <w:t xml:space="preserve"> Middle East chapter (2015-2020).</w:t>
      </w:r>
      <w:proofErr w:type="gramEnd"/>
      <w:r w:rsidRPr="00454BB4">
        <w:rPr>
          <w:rFonts w:ascii="Calibri" w:hAnsi="Calibri" w:cs="Calibri"/>
          <w:color w:val="000000"/>
          <w:sz w:val="22"/>
          <w:szCs w:val="22"/>
        </w:rPr>
        <w:t xml:space="preserve"> She was the chair of local organizing committee of the annual meeting of </w:t>
      </w:r>
      <w:proofErr w:type="spellStart"/>
      <w:r w:rsidRPr="00454BB4">
        <w:rPr>
          <w:rFonts w:ascii="Calibri" w:hAnsi="Calibri" w:cs="Calibri"/>
          <w:color w:val="000000"/>
          <w:sz w:val="22"/>
          <w:szCs w:val="22"/>
        </w:rPr>
        <w:t>ISoP</w:t>
      </w:r>
      <w:proofErr w:type="spellEnd"/>
      <w:r w:rsidRPr="00454BB4">
        <w:rPr>
          <w:rFonts w:ascii="Calibri" w:hAnsi="Calibri" w:cs="Calibri"/>
          <w:color w:val="000000"/>
          <w:sz w:val="22"/>
          <w:szCs w:val="22"/>
        </w:rPr>
        <w:t xml:space="preserve"> 2021. She conducted many training programs under the umbrella of </w:t>
      </w:r>
      <w:proofErr w:type="spellStart"/>
      <w:r w:rsidRPr="00454BB4">
        <w:rPr>
          <w:rFonts w:ascii="Calibri" w:hAnsi="Calibri" w:cs="Calibri"/>
          <w:color w:val="000000"/>
          <w:sz w:val="22"/>
          <w:szCs w:val="22"/>
        </w:rPr>
        <w:t>ISoP</w:t>
      </w:r>
      <w:proofErr w:type="spellEnd"/>
      <w:r w:rsidRPr="00454BB4">
        <w:rPr>
          <w:rFonts w:ascii="Calibri" w:hAnsi="Calibri" w:cs="Calibri"/>
          <w:color w:val="000000"/>
          <w:sz w:val="22"/>
          <w:szCs w:val="22"/>
        </w:rPr>
        <w:t xml:space="preserve"> Middle East Chapter and in collaboration with Arab Health Authorities. She has been invited as a speaker in many conferences both international and regional.</w:t>
      </w:r>
    </w:p>
    <w:p w14:paraId="2296B16B" w14:textId="77777777" w:rsidR="00454BB4" w:rsidRDefault="00454BB4" w:rsidP="00906A2D">
      <w:pPr>
        <w:pStyle w:val="NormalWeb"/>
        <w:spacing w:before="0" w:beforeAutospacing="0" w:after="160" w:afterAutospacing="0"/>
        <w:rPr>
          <w:rFonts w:ascii="Calibri" w:hAnsi="Calibri" w:cs="Calibri"/>
          <w:color w:val="000000"/>
          <w:sz w:val="22"/>
          <w:szCs w:val="22"/>
        </w:rPr>
      </w:pPr>
    </w:p>
    <w:p w14:paraId="1664172A" w14:textId="18D966EC" w:rsidR="00906A2D" w:rsidRDefault="00906A2D" w:rsidP="00906A2D">
      <w:pPr>
        <w:pStyle w:val="NormalWeb"/>
        <w:spacing w:before="0" w:beforeAutospacing="0" w:after="160" w:afterAutospacing="0"/>
        <w:rPr>
          <w:rFonts w:ascii="Calibri" w:hAnsi="Calibri" w:cs="Calibri"/>
          <w:color w:val="000000"/>
          <w:sz w:val="22"/>
          <w:szCs w:val="22"/>
        </w:rPr>
      </w:pPr>
    </w:p>
    <w:p w14:paraId="674E3C35" w14:textId="77777777" w:rsidR="00906A2D" w:rsidRDefault="00906A2D" w:rsidP="00906A2D">
      <w:pPr>
        <w:pStyle w:val="NormalWeb"/>
        <w:spacing w:before="0" w:beforeAutospacing="0" w:after="160" w:afterAutospacing="0"/>
        <w:rPr>
          <w:rFonts w:ascii="Calibri" w:hAnsi="Calibri" w:cs="Calibri"/>
          <w:color w:val="000000"/>
          <w:sz w:val="22"/>
          <w:szCs w:val="22"/>
        </w:rPr>
      </w:pPr>
    </w:p>
    <w:sectPr w:rsidR="00906A2D" w:rsidSect="00E601D5">
      <w:pgSz w:w="12240" w:h="15840"/>
      <w:pgMar w:top="1417"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991"/>
    <w:rsid w:val="0000672F"/>
    <w:rsid w:val="00034113"/>
    <w:rsid w:val="000847F5"/>
    <w:rsid w:val="00160D36"/>
    <w:rsid w:val="00187673"/>
    <w:rsid w:val="00197FFD"/>
    <w:rsid w:val="001B0E91"/>
    <w:rsid w:val="001B52B4"/>
    <w:rsid w:val="001D2878"/>
    <w:rsid w:val="001E7618"/>
    <w:rsid w:val="002368B3"/>
    <w:rsid w:val="00297ED9"/>
    <w:rsid w:val="002E01C0"/>
    <w:rsid w:val="00340302"/>
    <w:rsid w:val="00340336"/>
    <w:rsid w:val="00357512"/>
    <w:rsid w:val="00375991"/>
    <w:rsid w:val="003B2B56"/>
    <w:rsid w:val="003C4BDF"/>
    <w:rsid w:val="00454BB4"/>
    <w:rsid w:val="00454E46"/>
    <w:rsid w:val="00483697"/>
    <w:rsid w:val="004969F6"/>
    <w:rsid w:val="004A6305"/>
    <w:rsid w:val="004D3C6A"/>
    <w:rsid w:val="00503D77"/>
    <w:rsid w:val="0052129A"/>
    <w:rsid w:val="005A576B"/>
    <w:rsid w:val="005A7260"/>
    <w:rsid w:val="005D2E43"/>
    <w:rsid w:val="0062089F"/>
    <w:rsid w:val="006F609E"/>
    <w:rsid w:val="00712119"/>
    <w:rsid w:val="0077426E"/>
    <w:rsid w:val="007A421F"/>
    <w:rsid w:val="00814CBE"/>
    <w:rsid w:val="008A6DE3"/>
    <w:rsid w:val="008B71E7"/>
    <w:rsid w:val="008D2B0F"/>
    <w:rsid w:val="009023F9"/>
    <w:rsid w:val="00906A2D"/>
    <w:rsid w:val="00967BD5"/>
    <w:rsid w:val="009A5BEF"/>
    <w:rsid w:val="009A7EA7"/>
    <w:rsid w:val="009B15F2"/>
    <w:rsid w:val="009C3ACA"/>
    <w:rsid w:val="00A17EC1"/>
    <w:rsid w:val="00A53EC2"/>
    <w:rsid w:val="00A64D16"/>
    <w:rsid w:val="00A70770"/>
    <w:rsid w:val="00B62179"/>
    <w:rsid w:val="00C44025"/>
    <w:rsid w:val="00C77CB3"/>
    <w:rsid w:val="00C80AAC"/>
    <w:rsid w:val="00C93F7D"/>
    <w:rsid w:val="00CC7198"/>
    <w:rsid w:val="00D56627"/>
    <w:rsid w:val="00D8003B"/>
    <w:rsid w:val="00DB14F4"/>
    <w:rsid w:val="00DD6DB2"/>
    <w:rsid w:val="00E14E74"/>
    <w:rsid w:val="00E449AD"/>
    <w:rsid w:val="00E466F3"/>
    <w:rsid w:val="00E601D5"/>
    <w:rsid w:val="00E609EB"/>
    <w:rsid w:val="00ED3E4D"/>
    <w:rsid w:val="00F068B1"/>
    <w:rsid w:val="00F06C6F"/>
    <w:rsid w:val="00F132E7"/>
    <w:rsid w:val="00FA4378"/>
    <w:rsid w:val="00FA551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158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2129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E7618"/>
    <w:rPr>
      <w:color w:val="0563C1" w:themeColor="hyperlink"/>
      <w:u w:val="single"/>
    </w:rPr>
  </w:style>
  <w:style w:type="character" w:customStyle="1" w:styleId="UnresolvedMention">
    <w:name w:val="Unresolved Mention"/>
    <w:basedOn w:val="DefaultParagraphFont"/>
    <w:uiPriority w:val="99"/>
    <w:semiHidden/>
    <w:unhideWhenUsed/>
    <w:rsid w:val="001E7618"/>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2129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E7618"/>
    <w:rPr>
      <w:color w:val="0563C1" w:themeColor="hyperlink"/>
      <w:u w:val="single"/>
    </w:rPr>
  </w:style>
  <w:style w:type="character" w:customStyle="1" w:styleId="UnresolvedMention">
    <w:name w:val="Unresolved Mention"/>
    <w:basedOn w:val="DefaultParagraphFont"/>
    <w:uiPriority w:val="99"/>
    <w:semiHidden/>
    <w:unhideWhenUsed/>
    <w:rsid w:val="001E76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7099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365</Words>
  <Characters>2085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Alkhakany,Dr.,Mayada (HP Medicine) BI-AE-D</dc:creator>
  <cp:lastModifiedBy>medicinalchemistry</cp:lastModifiedBy>
  <cp:revision>2</cp:revision>
  <dcterms:created xsi:type="dcterms:W3CDTF">2022-05-20T07:11:00Z</dcterms:created>
  <dcterms:modified xsi:type="dcterms:W3CDTF">2022-05-20T07:11:00Z</dcterms:modified>
</cp:coreProperties>
</file>