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62353A">
      <w:pPr>
        <w:rPr>
          <w:rFonts w:ascii="Times New Roman" w:hAnsi="Times New Roman" w:cs="Times New Roman"/>
          <w:b/>
          <w:sz w:val="32"/>
        </w:rPr>
      </w:pPr>
      <w:r w:rsidRPr="0062353A">
        <w:rPr>
          <w:rFonts w:ascii="Times New Roman" w:hAnsi="Times New Roman" w:cs="Times New Roman"/>
          <w:b/>
          <w:sz w:val="32"/>
        </w:rPr>
        <w:t>Pathogenesis of the growth rates of preterm and full-term infants: A birth cohort study</w:t>
      </w:r>
    </w:p>
    <w:p w:rsidR="0062353A" w:rsidRDefault="0062353A">
      <w:pPr>
        <w:rPr>
          <w:rFonts w:ascii="Times New Roman" w:hAnsi="Times New Roman" w:cs="Times New Roman"/>
          <w:sz w:val="24"/>
        </w:rPr>
      </w:pPr>
      <w:proofErr w:type="spellStart"/>
      <w:r w:rsidRPr="0062353A">
        <w:rPr>
          <w:rFonts w:ascii="Times New Roman" w:hAnsi="Times New Roman" w:cs="Times New Roman"/>
          <w:sz w:val="24"/>
        </w:rPr>
        <w:t>Zhonggui</w:t>
      </w:r>
      <w:proofErr w:type="spellEnd"/>
      <w:r w:rsidRPr="0062353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353A">
        <w:rPr>
          <w:rFonts w:ascii="Times New Roman" w:hAnsi="Times New Roman" w:cs="Times New Roman"/>
          <w:sz w:val="24"/>
        </w:rPr>
        <w:t>Xiong</w:t>
      </w:r>
      <w:proofErr w:type="spellEnd"/>
      <w:r w:rsidR="0032361E">
        <w:rPr>
          <w:rFonts w:ascii="Times New Roman" w:hAnsi="Times New Roman" w:cs="Times New Roman"/>
          <w:sz w:val="24"/>
        </w:rPr>
        <w:t>*</w:t>
      </w:r>
      <w:r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62353A">
        <w:rPr>
          <w:rFonts w:ascii="Times New Roman" w:hAnsi="Times New Roman" w:cs="Times New Roman"/>
          <w:sz w:val="24"/>
        </w:rPr>
        <w:t>Jian</w:t>
      </w:r>
      <w:proofErr w:type="spellEnd"/>
      <w:r w:rsidRPr="0062353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62353A">
        <w:rPr>
          <w:rFonts w:ascii="Times New Roman" w:hAnsi="Times New Roman" w:cs="Times New Roman"/>
          <w:sz w:val="24"/>
        </w:rPr>
        <w:t>Ke</w:t>
      </w:r>
      <w:proofErr w:type="spellEnd"/>
    </w:p>
    <w:p w:rsidR="0062353A" w:rsidRPr="00174AEE" w:rsidRDefault="0062353A">
      <w:pPr>
        <w:rPr>
          <w:rFonts w:ascii="Times New Roman" w:hAnsi="Times New Roman" w:cs="Times New Roman"/>
        </w:rPr>
      </w:pPr>
      <w:r w:rsidRPr="00174AEE">
        <w:rPr>
          <w:rFonts w:ascii="Times New Roman" w:hAnsi="Times New Roman" w:cs="Times New Roman"/>
        </w:rPr>
        <w:t>Hubei Maternity and Child Health Care Hospital, China</w:t>
      </w:r>
    </w:p>
    <w:p w:rsidR="0062353A" w:rsidRPr="00174AEE" w:rsidRDefault="0062353A" w:rsidP="00174AEE">
      <w:pPr>
        <w:jc w:val="center"/>
        <w:rPr>
          <w:rFonts w:ascii="Times New Roman" w:hAnsi="Times New Roman" w:cs="Times New Roman"/>
          <w:b/>
          <w:sz w:val="24"/>
        </w:rPr>
      </w:pPr>
      <w:r w:rsidRPr="00174AEE">
        <w:rPr>
          <w:rFonts w:ascii="Times New Roman" w:hAnsi="Times New Roman" w:cs="Times New Roman"/>
          <w:b/>
          <w:sz w:val="24"/>
        </w:rPr>
        <w:t>Abstract</w:t>
      </w:r>
    </w:p>
    <w:p w:rsidR="00174AEE" w:rsidRPr="00174AEE" w:rsidRDefault="00174AEE" w:rsidP="00174AEE">
      <w:pPr>
        <w:jc w:val="both"/>
        <w:rPr>
          <w:rFonts w:ascii="Times New Roman" w:hAnsi="Times New Roman" w:cs="Times New Roman"/>
          <w:sz w:val="20"/>
        </w:rPr>
      </w:pPr>
      <w:r w:rsidRPr="00174AEE">
        <w:rPr>
          <w:rFonts w:ascii="Times New Roman" w:hAnsi="Times New Roman" w:cs="Times New Roman"/>
          <w:b/>
          <w:sz w:val="20"/>
        </w:rPr>
        <w:t xml:space="preserve">Statement of the </w:t>
      </w:r>
      <w:r w:rsidRPr="00174AEE">
        <w:rPr>
          <w:rFonts w:ascii="Times New Roman" w:hAnsi="Times New Roman" w:cs="Times New Roman"/>
          <w:b/>
          <w:sz w:val="20"/>
        </w:rPr>
        <w:t>problem</w:t>
      </w:r>
      <w:r w:rsidRPr="00174AEE">
        <w:rPr>
          <w:rFonts w:ascii="Times New Roman" w:hAnsi="Times New Roman" w:cs="Times New Roman"/>
          <w:b/>
          <w:sz w:val="20"/>
        </w:rPr>
        <w:t>:</w:t>
      </w:r>
      <w:r w:rsidRPr="00174AEE">
        <w:rPr>
          <w:rFonts w:ascii="Times New Roman" w:hAnsi="Times New Roman" w:cs="Times New Roman"/>
          <w:sz w:val="20"/>
        </w:rPr>
        <w:t xml:space="preserve"> Infant growth rates are a nonlinear and significant variation which is a series of alternating processes of rapid growth and stagnation. However, the growth pattern of preterm infants is significantly different from that of full-term infants at different ages of life. Longitudinal follow-up has seldom been used to explore the growth rates, IGF-1 and IGFBP-3</w:t>
      </w:r>
      <w:r w:rsidR="0032361E">
        <w:rPr>
          <w:rFonts w:ascii="Times New Roman" w:hAnsi="Times New Roman" w:cs="Times New Roman"/>
          <w:sz w:val="20"/>
        </w:rPr>
        <w:t xml:space="preserve"> and</w:t>
      </w:r>
      <w:r w:rsidRPr="00174AEE">
        <w:rPr>
          <w:rFonts w:ascii="Times New Roman" w:hAnsi="Times New Roman" w:cs="Times New Roman"/>
          <w:sz w:val="20"/>
        </w:rPr>
        <w:t xml:space="preserve"> influencing factors of preterm and full-term infants. Therefore, this study aimed to clarify the pathogenesis of the growth rates of preterm and full-term infants</w:t>
      </w:r>
      <w:r w:rsidR="0032361E">
        <w:rPr>
          <w:rFonts w:ascii="Times New Roman" w:hAnsi="Times New Roman" w:cs="Times New Roman"/>
          <w:sz w:val="20"/>
        </w:rPr>
        <w:t xml:space="preserve"> and</w:t>
      </w:r>
      <w:r w:rsidRPr="00174AEE">
        <w:rPr>
          <w:rFonts w:ascii="Times New Roman" w:hAnsi="Times New Roman" w:cs="Times New Roman"/>
          <w:sz w:val="20"/>
        </w:rPr>
        <w:t xml:space="preserve"> to take effective intervention measures to promo</w:t>
      </w:r>
      <w:bookmarkStart w:id="0" w:name="_GoBack"/>
      <w:bookmarkEnd w:id="0"/>
      <w:r w:rsidRPr="00174AEE">
        <w:rPr>
          <w:rFonts w:ascii="Times New Roman" w:hAnsi="Times New Roman" w:cs="Times New Roman"/>
          <w:sz w:val="20"/>
        </w:rPr>
        <w:t>te infant growth and development.</w:t>
      </w:r>
    </w:p>
    <w:p w:rsidR="00174AEE" w:rsidRPr="00174AEE" w:rsidRDefault="00174AEE" w:rsidP="00174AEE">
      <w:pPr>
        <w:jc w:val="both"/>
        <w:rPr>
          <w:rFonts w:ascii="Times New Roman" w:hAnsi="Times New Roman" w:cs="Times New Roman"/>
          <w:sz w:val="20"/>
        </w:rPr>
      </w:pPr>
      <w:r w:rsidRPr="00174AEE">
        <w:rPr>
          <w:rFonts w:ascii="Times New Roman" w:hAnsi="Times New Roman" w:cs="Times New Roman"/>
          <w:b/>
          <w:sz w:val="20"/>
        </w:rPr>
        <w:t xml:space="preserve">Methodology &amp; </w:t>
      </w:r>
      <w:r w:rsidRPr="00174AEE">
        <w:rPr>
          <w:rFonts w:ascii="Times New Roman" w:hAnsi="Times New Roman" w:cs="Times New Roman"/>
          <w:b/>
          <w:sz w:val="20"/>
        </w:rPr>
        <w:t>theoretical orientation</w:t>
      </w:r>
      <w:r w:rsidRPr="00174AEE">
        <w:rPr>
          <w:rFonts w:ascii="Times New Roman" w:hAnsi="Times New Roman" w:cs="Times New Roman"/>
          <w:b/>
          <w:sz w:val="20"/>
        </w:rPr>
        <w:t>:</w:t>
      </w:r>
      <w:r w:rsidRPr="00174AEE">
        <w:rPr>
          <w:rFonts w:ascii="Times New Roman" w:hAnsi="Times New Roman" w:cs="Times New Roman"/>
          <w:sz w:val="20"/>
        </w:rPr>
        <w:t xml:space="preserve"> Longitudinal follow-up data were collected regularly from routine health visits for preterm and full-term infants. Pediatricians monitored the length and weight of preterm and</w:t>
      </w:r>
      <w:r>
        <w:rPr>
          <w:rFonts w:ascii="Times New Roman" w:hAnsi="Times New Roman" w:cs="Times New Roman"/>
          <w:sz w:val="20"/>
        </w:rPr>
        <w:t xml:space="preserve"> full-term infants at birth, 1,3,6,9</w:t>
      </w:r>
      <w:r w:rsidRPr="00174AEE">
        <w:rPr>
          <w:rFonts w:ascii="Times New Roman" w:hAnsi="Times New Roman" w:cs="Times New Roman"/>
          <w:sz w:val="20"/>
        </w:rPr>
        <w:t xml:space="preserve"> and 12 months of ages using the standard method of physical measurements. A birth cohort study was used to analyze the pathogenesis of the growth rates of preterm and full-term infants.</w:t>
      </w:r>
    </w:p>
    <w:p w:rsidR="00174AEE" w:rsidRPr="00174AEE" w:rsidRDefault="00174AEE" w:rsidP="00174AEE">
      <w:pPr>
        <w:jc w:val="both"/>
        <w:rPr>
          <w:rFonts w:ascii="Times New Roman" w:hAnsi="Times New Roman" w:cs="Times New Roman"/>
          <w:sz w:val="20"/>
        </w:rPr>
      </w:pPr>
      <w:r w:rsidRPr="00174AEE">
        <w:rPr>
          <w:rFonts w:ascii="Times New Roman" w:hAnsi="Times New Roman" w:cs="Times New Roman"/>
          <w:b/>
          <w:sz w:val="20"/>
        </w:rPr>
        <w:t>Findings:</w:t>
      </w:r>
      <w:r w:rsidRPr="00174AEE">
        <w:rPr>
          <w:rFonts w:ascii="Times New Roman" w:hAnsi="Times New Roman" w:cs="Times New Roman"/>
          <w:sz w:val="20"/>
        </w:rPr>
        <w:t xml:space="preserve"> The growth rates of the length and weight of preterm infants were significantly lower than those of full-term infants f</w:t>
      </w:r>
      <w:r>
        <w:rPr>
          <w:rFonts w:ascii="Times New Roman" w:hAnsi="Times New Roman" w:cs="Times New Roman"/>
          <w:sz w:val="20"/>
        </w:rPr>
        <w:t>rom birth to 3 months of age (P</w:t>
      </w:r>
      <w:r w:rsidRPr="00174AEE">
        <w:rPr>
          <w:rFonts w:ascii="Times New Roman" w:hAnsi="Times New Roman" w:cs="Times New Roman"/>
          <w:sz w:val="20"/>
        </w:rPr>
        <w:t>&lt;0.05)</w:t>
      </w:r>
      <w:r w:rsidR="0032361E">
        <w:rPr>
          <w:rFonts w:ascii="Times New Roman" w:hAnsi="Times New Roman" w:cs="Times New Roman"/>
          <w:sz w:val="20"/>
        </w:rPr>
        <w:t xml:space="preserve"> and</w:t>
      </w:r>
      <w:r w:rsidRPr="00174AEE">
        <w:rPr>
          <w:rFonts w:ascii="Times New Roman" w:hAnsi="Times New Roman" w:cs="Times New Roman"/>
          <w:sz w:val="20"/>
        </w:rPr>
        <w:t xml:space="preserve"> gradually caught up to the level of full-term i</w:t>
      </w:r>
      <w:r>
        <w:rPr>
          <w:rFonts w:ascii="Times New Roman" w:hAnsi="Times New Roman" w:cs="Times New Roman"/>
          <w:sz w:val="20"/>
        </w:rPr>
        <w:t>nfants after 3 months of age (P&gt;</w:t>
      </w:r>
      <w:r w:rsidRPr="00174AEE">
        <w:rPr>
          <w:rFonts w:ascii="Times New Roman" w:hAnsi="Times New Roman" w:cs="Times New Roman"/>
          <w:sz w:val="20"/>
        </w:rPr>
        <w:t>0.05). The serum titers of IGF-1 and IGFBP-3 of preterm infants were significantly lower than those of full-term infants at 6 and 12 months of ages (P</w:t>
      </w:r>
      <w:r>
        <w:rPr>
          <w:rFonts w:ascii="Times New Roman" w:hAnsi="Times New Roman" w:cs="Times New Roman"/>
          <w:sz w:val="20"/>
        </w:rPr>
        <w:t>&lt;</w:t>
      </w:r>
      <w:r w:rsidRPr="00174AEE">
        <w:rPr>
          <w:rFonts w:ascii="Times New Roman" w:hAnsi="Times New Roman" w:cs="Times New Roman"/>
          <w:sz w:val="20"/>
        </w:rPr>
        <w:t>0.05). Meanwhile, there were some influencing factors that had significant differences by their contribution to the growth rates of preterm and full-term infants.</w:t>
      </w:r>
    </w:p>
    <w:p w:rsidR="0062353A" w:rsidRDefault="00174AEE" w:rsidP="00174AEE">
      <w:pPr>
        <w:jc w:val="both"/>
        <w:rPr>
          <w:rFonts w:ascii="Times New Roman" w:hAnsi="Times New Roman" w:cs="Times New Roman"/>
          <w:sz w:val="20"/>
        </w:rPr>
      </w:pPr>
      <w:r w:rsidRPr="00174AEE">
        <w:rPr>
          <w:rFonts w:ascii="Times New Roman" w:hAnsi="Times New Roman" w:cs="Times New Roman"/>
          <w:b/>
          <w:sz w:val="20"/>
        </w:rPr>
        <w:t>Conclusion:</w:t>
      </w:r>
      <w:r w:rsidRPr="00174AEE">
        <w:rPr>
          <w:rFonts w:ascii="Times New Roman" w:hAnsi="Times New Roman" w:cs="Times New Roman"/>
          <w:sz w:val="20"/>
        </w:rPr>
        <w:t xml:space="preserve"> The interaction of various biological and environmental factors regulated the pathogenesis of IGF-1 and IGFBP-3 through DNA methylation</w:t>
      </w:r>
      <w:r w:rsidR="0032361E">
        <w:rPr>
          <w:rFonts w:ascii="Times New Roman" w:hAnsi="Times New Roman" w:cs="Times New Roman"/>
          <w:sz w:val="20"/>
        </w:rPr>
        <w:t xml:space="preserve"> and</w:t>
      </w:r>
      <w:r w:rsidRPr="00174AEE">
        <w:rPr>
          <w:rFonts w:ascii="Times New Roman" w:hAnsi="Times New Roman" w:cs="Times New Roman"/>
          <w:sz w:val="20"/>
        </w:rPr>
        <w:t xml:space="preserve"> jointly affected the growth rates of preterm infants. Therefore, multidisciplinary interventions should be developed to promote the growth rates of preterm infants within the first 3 months of corrected age.</w:t>
      </w:r>
    </w:p>
    <w:p w:rsidR="0032361E" w:rsidRPr="0032361E" w:rsidRDefault="0032361E" w:rsidP="0032361E">
      <w:pPr>
        <w:rPr>
          <w:rFonts w:ascii="Times New Roman" w:hAnsi="Times New Roman" w:cs="Times New Roman"/>
          <w:b/>
          <w:sz w:val="24"/>
        </w:rPr>
      </w:pPr>
      <w:r w:rsidRPr="0032361E">
        <w:rPr>
          <w:rFonts w:ascii="Times New Roman" w:hAnsi="Times New Roman" w:cs="Times New Roman"/>
          <w:b/>
          <w:sz w:val="24"/>
        </w:rPr>
        <w:t xml:space="preserve">Biography </w:t>
      </w:r>
    </w:p>
    <w:p w:rsidR="00174AEE" w:rsidRPr="00174AEE" w:rsidRDefault="0032361E" w:rsidP="00174AEE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32361E">
        <w:rPr>
          <w:rFonts w:ascii="Times New Roman" w:hAnsi="Times New Roman" w:cs="Times New Roman"/>
          <w:sz w:val="20"/>
        </w:rPr>
        <w:t>Zhonggui</w:t>
      </w:r>
      <w:proofErr w:type="spellEnd"/>
      <w:r w:rsidRPr="0032361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2361E">
        <w:rPr>
          <w:rFonts w:ascii="Times New Roman" w:hAnsi="Times New Roman" w:cs="Times New Roman"/>
          <w:sz w:val="20"/>
        </w:rPr>
        <w:t>Xiong</w:t>
      </w:r>
      <w:proofErr w:type="spellEnd"/>
      <w:r w:rsidRPr="0032361E">
        <w:rPr>
          <w:rFonts w:ascii="Times New Roman" w:hAnsi="Times New Roman" w:cs="Times New Roman"/>
          <w:sz w:val="20"/>
        </w:rPr>
        <w:t xml:space="preserve"> has his expertise in diagnosis and intervention of child developmental disorders, for example the growth rates and influencing factors of preterm and full-term infants. </w:t>
      </w:r>
      <w:r>
        <w:rPr>
          <w:rFonts w:ascii="Times New Roman" w:hAnsi="Times New Roman" w:cs="Times New Roman"/>
          <w:sz w:val="20"/>
        </w:rPr>
        <w:t>He</w:t>
      </w:r>
      <w:r w:rsidRPr="0032361E">
        <w:rPr>
          <w:rFonts w:ascii="Times New Roman" w:hAnsi="Times New Roman" w:cs="Times New Roman"/>
          <w:sz w:val="20"/>
        </w:rPr>
        <w:t xml:space="preserve"> participated in establishing the reference standard of infant growth rates which was supported by the special fund for basic work, Ministry of Science and Technology of China (Project No.: 2006FY230200) in 2006. Furthermore, </w:t>
      </w:r>
      <w:r>
        <w:rPr>
          <w:rFonts w:ascii="Times New Roman" w:hAnsi="Times New Roman" w:cs="Times New Roman"/>
          <w:sz w:val="20"/>
        </w:rPr>
        <w:t>he</w:t>
      </w:r>
      <w:r w:rsidRPr="0032361E">
        <w:rPr>
          <w:rFonts w:ascii="Times New Roman" w:hAnsi="Times New Roman" w:cs="Times New Roman"/>
          <w:sz w:val="20"/>
        </w:rPr>
        <w:t xml:space="preserve"> took charge of clarifying the pathogenesis of infant growth rates which was supported by the Maternal-Infant Nutrition and Health Research Project, the National Center for Women and Children’s Health of the Chinese Center for Disease Control and Prevention (Project No.: 2020FYH009). </w:t>
      </w:r>
    </w:p>
    <w:sectPr w:rsidR="00174AEE" w:rsidRPr="00174A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53A"/>
    <w:rsid w:val="00174AEE"/>
    <w:rsid w:val="0032354D"/>
    <w:rsid w:val="0032361E"/>
    <w:rsid w:val="00474203"/>
    <w:rsid w:val="00535872"/>
    <w:rsid w:val="0062353A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2023-05-09T08:59:00Z</dcterms:created>
  <dcterms:modified xsi:type="dcterms:W3CDTF">2023-05-09T09:26:00Z</dcterms:modified>
</cp:coreProperties>
</file>