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725DC">
      <w:pPr>
        <w:rPr>
          <w:rFonts w:ascii="Times New Roman" w:hAnsi="Times New Roman" w:cs="Times New Roman"/>
          <w:b/>
          <w:sz w:val="32"/>
        </w:rPr>
      </w:pPr>
      <w:r w:rsidRPr="00A725DC">
        <w:rPr>
          <w:rFonts w:ascii="Times New Roman" w:hAnsi="Times New Roman" w:cs="Times New Roman"/>
          <w:b/>
          <w:sz w:val="32"/>
        </w:rPr>
        <w:t xml:space="preserve">Resistant lichen </w:t>
      </w:r>
      <w:proofErr w:type="spellStart"/>
      <w:r w:rsidRPr="00A725DC">
        <w:rPr>
          <w:rFonts w:ascii="Times New Roman" w:hAnsi="Times New Roman" w:cs="Times New Roman"/>
          <w:b/>
          <w:sz w:val="32"/>
        </w:rPr>
        <w:t>planopilaris</w:t>
      </w:r>
      <w:proofErr w:type="spellEnd"/>
      <w:r w:rsidRPr="00A725DC">
        <w:rPr>
          <w:rFonts w:ascii="Times New Roman" w:hAnsi="Times New Roman" w:cs="Times New Roman"/>
          <w:b/>
          <w:sz w:val="32"/>
        </w:rPr>
        <w:t>: Expect the unexpected</w:t>
      </w:r>
    </w:p>
    <w:p w:rsidR="00A725DC" w:rsidRDefault="00A725DC">
      <w:pPr>
        <w:rPr>
          <w:rFonts w:ascii="Times New Roman" w:hAnsi="Times New Roman" w:cs="Times New Roman"/>
          <w:sz w:val="24"/>
        </w:rPr>
      </w:pPr>
      <w:proofErr w:type="spellStart"/>
      <w:r>
        <w:rPr>
          <w:rFonts w:ascii="Times New Roman" w:hAnsi="Times New Roman" w:cs="Times New Roman"/>
          <w:sz w:val="24"/>
        </w:rPr>
        <w:t>Yasmin</w:t>
      </w:r>
      <w:proofErr w:type="spellEnd"/>
      <w:r>
        <w:rPr>
          <w:rFonts w:ascii="Times New Roman" w:hAnsi="Times New Roman" w:cs="Times New Roman"/>
          <w:sz w:val="24"/>
        </w:rPr>
        <w:t xml:space="preserve"> Divecha</w:t>
      </w:r>
      <w:r w:rsidRPr="00A725DC">
        <w:rPr>
          <w:rFonts w:ascii="Times New Roman" w:hAnsi="Times New Roman" w:cs="Times New Roman"/>
          <w:sz w:val="24"/>
          <w:vertAlign w:val="superscript"/>
        </w:rPr>
        <w:t>1</w:t>
      </w:r>
      <w:r>
        <w:rPr>
          <w:rFonts w:ascii="Times New Roman" w:hAnsi="Times New Roman" w:cs="Times New Roman"/>
          <w:sz w:val="24"/>
        </w:rPr>
        <w:t>* and</w:t>
      </w:r>
      <w:r w:rsidRPr="00A725DC">
        <w:rPr>
          <w:rFonts w:ascii="Times New Roman" w:hAnsi="Times New Roman" w:cs="Times New Roman"/>
          <w:sz w:val="24"/>
        </w:rPr>
        <w:t xml:space="preserve"> </w:t>
      </w:r>
      <w:proofErr w:type="spellStart"/>
      <w:r w:rsidRPr="00A725DC">
        <w:rPr>
          <w:rFonts w:ascii="Times New Roman" w:hAnsi="Times New Roman" w:cs="Times New Roman"/>
          <w:sz w:val="24"/>
        </w:rPr>
        <w:t>Arshan</w:t>
      </w:r>
      <w:proofErr w:type="spellEnd"/>
      <w:r w:rsidRPr="00A725DC">
        <w:rPr>
          <w:rFonts w:ascii="Times New Roman" w:hAnsi="Times New Roman" w:cs="Times New Roman"/>
          <w:sz w:val="24"/>
        </w:rPr>
        <w:t xml:space="preserve"> Dadrewalla</w:t>
      </w:r>
      <w:r w:rsidRPr="00A725DC">
        <w:rPr>
          <w:rFonts w:ascii="Times New Roman" w:hAnsi="Times New Roman" w:cs="Times New Roman"/>
          <w:sz w:val="24"/>
          <w:vertAlign w:val="superscript"/>
        </w:rPr>
        <w:t>2</w:t>
      </w:r>
    </w:p>
    <w:p w:rsidR="00A725DC" w:rsidRPr="00A725DC" w:rsidRDefault="00A725DC" w:rsidP="00A725DC">
      <w:pPr>
        <w:spacing w:after="0"/>
        <w:rPr>
          <w:rFonts w:ascii="Times New Roman" w:hAnsi="Times New Roman" w:cs="Times New Roman"/>
        </w:rPr>
      </w:pPr>
      <w:r w:rsidRPr="00A725DC">
        <w:rPr>
          <w:rFonts w:ascii="Times New Roman" w:hAnsi="Times New Roman" w:cs="Times New Roman"/>
          <w:vertAlign w:val="superscript"/>
        </w:rPr>
        <w:t>1</w:t>
      </w:r>
      <w:r w:rsidRPr="00A725DC">
        <w:rPr>
          <w:rFonts w:ascii="Times New Roman" w:hAnsi="Times New Roman" w:cs="Times New Roman"/>
        </w:rPr>
        <w:t xml:space="preserve">Havering and </w:t>
      </w:r>
      <w:proofErr w:type="spellStart"/>
      <w:r w:rsidRPr="00A725DC">
        <w:rPr>
          <w:rFonts w:ascii="Times New Roman" w:hAnsi="Times New Roman" w:cs="Times New Roman"/>
        </w:rPr>
        <w:t>Redbridge</w:t>
      </w:r>
      <w:proofErr w:type="spellEnd"/>
      <w:r w:rsidRPr="00A725DC">
        <w:rPr>
          <w:rFonts w:ascii="Times New Roman" w:hAnsi="Times New Roman" w:cs="Times New Roman"/>
        </w:rPr>
        <w:t xml:space="preserve"> University Hospitals NHS Trust, United Kingdom</w:t>
      </w:r>
    </w:p>
    <w:p w:rsidR="00A725DC" w:rsidRPr="00A725DC" w:rsidRDefault="00A725DC">
      <w:pPr>
        <w:rPr>
          <w:rFonts w:ascii="Times New Roman" w:hAnsi="Times New Roman" w:cs="Times New Roman"/>
        </w:rPr>
      </w:pPr>
      <w:r w:rsidRPr="00A725DC">
        <w:rPr>
          <w:rFonts w:ascii="Times New Roman" w:hAnsi="Times New Roman" w:cs="Times New Roman"/>
          <w:vertAlign w:val="superscript"/>
        </w:rPr>
        <w:t>2</w:t>
      </w:r>
      <w:r w:rsidRPr="00A725DC">
        <w:rPr>
          <w:rFonts w:ascii="Times New Roman" w:hAnsi="Times New Roman" w:cs="Times New Roman"/>
        </w:rPr>
        <w:t xml:space="preserve">London North West University Healthcare NHS Trust, </w:t>
      </w:r>
      <w:r w:rsidRPr="00A725DC">
        <w:rPr>
          <w:rFonts w:ascii="Times New Roman" w:hAnsi="Times New Roman" w:cs="Times New Roman"/>
        </w:rPr>
        <w:t>United Kingdom</w:t>
      </w:r>
    </w:p>
    <w:p w:rsidR="00A725DC" w:rsidRPr="00A725DC" w:rsidRDefault="00A725DC" w:rsidP="00A725DC">
      <w:pPr>
        <w:jc w:val="center"/>
        <w:rPr>
          <w:rFonts w:ascii="Times New Roman" w:hAnsi="Times New Roman" w:cs="Times New Roman"/>
          <w:b/>
          <w:sz w:val="24"/>
        </w:rPr>
      </w:pPr>
      <w:r w:rsidRPr="00A725DC">
        <w:rPr>
          <w:rFonts w:ascii="Times New Roman" w:hAnsi="Times New Roman" w:cs="Times New Roman"/>
          <w:b/>
          <w:sz w:val="24"/>
        </w:rPr>
        <w:t>Abstract</w:t>
      </w:r>
    </w:p>
    <w:p w:rsidR="00A725DC" w:rsidRPr="00A725DC" w:rsidRDefault="00A725DC" w:rsidP="00A725DC">
      <w:pPr>
        <w:jc w:val="both"/>
        <w:rPr>
          <w:rFonts w:ascii="Times New Roman" w:hAnsi="Times New Roman" w:cs="Times New Roman"/>
          <w:sz w:val="20"/>
        </w:rPr>
      </w:pPr>
      <w:r w:rsidRPr="00A725DC">
        <w:rPr>
          <w:rFonts w:ascii="Times New Roman" w:hAnsi="Times New Roman" w:cs="Times New Roman"/>
          <w:b/>
          <w:sz w:val="20"/>
        </w:rPr>
        <w:t>Introduction</w:t>
      </w:r>
      <w:r w:rsidRPr="00A725DC">
        <w:rPr>
          <w:rFonts w:ascii="Times New Roman" w:hAnsi="Times New Roman" w:cs="Times New Roman"/>
          <w:b/>
          <w:sz w:val="20"/>
        </w:rPr>
        <w:t>:</w:t>
      </w:r>
      <w:r w:rsidRPr="00A725DC">
        <w:rPr>
          <w:rFonts w:ascii="Times New Roman" w:hAnsi="Times New Roman" w:cs="Times New Roman"/>
          <w:sz w:val="20"/>
        </w:rPr>
        <w:t xml:space="preserve"> </w:t>
      </w:r>
      <w:r w:rsidRPr="00A725DC">
        <w:rPr>
          <w:rFonts w:ascii="Times New Roman" w:hAnsi="Times New Roman" w:cs="Times New Roman"/>
          <w:sz w:val="20"/>
        </w:rPr>
        <w:t xml:space="preserve">Lichen </w:t>
      </w:r>
      <w:r w:rsidRPr="00A725DC">
        <w:rPr>
          <w:rFonts w:ascii="Times New Roman" w:hAnsi="Times New Roman" w:cs="Times New Roman"/>
          <w:sz w:val="20"/>
        </w:rPr>
        <w:t>Plano-</w:t>
      </w:r>
      <w:proofErr w:type="spellStart"/>
      <w:r w:rsidRPr="00A725DC">
        <w:rPr>
          <w:rFonts w:ascii="Times New Roman" w:hAnsi="Times New Roman" w:cs="Times New Roman"/>
          <w:sz w:val="20"/>
        </w:rPr>
        <w:t>Pilaris</w:t>
      </w:r>
      <w:proofErr w:type="spellEnd"/>
      <w:r w:rsidRPr="00A725DC">
        <w:rPr>
          <w:rFonts w:ascii="Times New Roman" w:hAnsi="Times New Roman" w:cs="Times New Roman"/>
          <w:sz w:val="20"/>
        </w:rPr>
        <w:t xml:space="preserve"> </w:t>
      </w:r>
      <w:r w:rsidRPr="00A725DC">
        <w:rPr>
          <w:rFonts w:ascii="Times New Roman" w:hAnsi="Times New Roman" w:cs="Times New Roman"/>
          <w:sz w:val="20"/>
        </w:rPr>
        <w:t xml:space="preserve">(LPP) is a rare, chronic inflammatory scarring alopecia, primarily affecting women aged 40-60 years. It classically presents as pruritic, painful polygonal patches of alopecia with follicular hyperkeratosis and </w:t>
      </w:r>
      <w:proofErr w:type="spellStart"/>
      <w:r w:rsidRPr="00A725DC">
        <w:rPr>
          <w:rFonts w:ascii="Times New Roman" w:hAnsi="Times New Roman" w:cs="Times New Roman"/>
          <w:sz w:val="20"/>
        </w:rPr>
        <w:t>perifollicular</w:t>
      </w:r>
      <w:proofErr w:type="spellEnd"/>
      <w:r w:rsidRPr="00A725DC">
        <w:rPr>
          <w:rFonts w:ascii="Times New Roman" w:hAnsi="Times New Roman" w:cs="Times New Roman"/>
          <w:sz w:val="20"/>
        </w:rPr>
        <w:t xml:space="preserve"> erythema. Although, predominantly affecting scalp, this case highlights </w:t>
      </w:r>
      <w:r w:rsidRPr="00A725DC">
        <w:rPr>
          <w:rFonts w:ascii="Times New Roman" w:hAnsi="Times New Roman" w:cs="Times New Roman"/>
          <w:sz w:val="20"/>
        </w:rPr>
        <w:t>extra scalp</w:t>
      </w:r>
      <w:r w:rsidRPr="00A725DC">
        <w:rPr>
          <w:rFonts w:ascii="Times New Roman" w:hAnsi="Times New Roman" w:cs="Times New Roman"/>
          <w:sz w:val="20"/>
        </w:rPr>
        <w:t xml:space="preserve"> involvement which is scarce. Pathogenesis is not well </w:t>
      </w:r>
      <w:r w:rsidRPr="00A725DC">
        <w:rPr>
          <w:rFonts w:ascii="Times New Roman" w:hAnsi="Times New Roman" w:cs="Times New Roman"/>
          <w:sz w:val="20"/>
        </w:rPr>
        <w:t>characterized</w:t>
      </w:r>
      <w:r w:rsidRPr="00A725DC">
        <w:rPr>
          <w:rFonts w:ascii="Times New Roman" w:hAnsi="Times New Roman" w:cs="Times New Roman"/>
          <w:sz w:val="20"/>
        </w:rPr>
        <w:t xml:space="preserve"> and progression unpredictable. Treatment is difficult because of significant relapse-rates along with the psychological impact. Presently treatment does not result in hair regrowth, however, systemic treatment should be considered at the early stages.</w:t>
      </w:r>
    </w:p>
    <w:p w:rsidR="00A725DC" w:rsidRDefault="00A725DC" w:rsidP="00A725DC">
      <w:pPr>
        <w:jc w:val="both"/>
        <w:rPr>
          <w:rFonts w:ascii="Times New Roman" w:hAnsi="Times New Roman" w:cs="Times New Roman"/>
          <w:sz w:val="20"/>
        </w:rPr>
      </w:pPr>
      <w:r w:rsidRPr="00A725DC">
        <w:rPr>
          <w:rFonts w:ascii="Times New Roman" w:hAnsi="Times New Roman" w:cs="Times New Roman"/>
          <w:b/>
          <w:sz w:val="20"/>
        </w:rPr>
        <w:t xml:space="preserve">Case </w:t>
      </w:r>
      <w:r w:rsidRPr="00A725DC">
        <w:rPr>
          <w:rFonts w:ascii="Times New Roman" w:hAnsi="Times New Roman" w:cs="Times New Roman"/>
          <w:b/>
          <w:sz w:val="20"/>
        </w:rPr>
        <w:t>report:</w:t>
      </w:r>
      <w:r w:rsidRPr="00A725DC">
        <w:rPr>
          <w:rFonts w:ascii="Times New Roman" w:hAnsi="Times New Roman" w:cs="Times New Roman"/>
          <w:sz w:val="20"/>
        </w:rPr>
        <w:t xml:space="preserve"> </w:t>
      </w:r>
      <w:r w:rsidRPr="00A725DC">
        <w:rPr>
          <w:rFonts w:ascii="Times New Roman" w:hAnsi="Times New Roman" w:cs="Times New Roman"/>
          <w:sz w:val="20"/>
        </w:rPr>
        <w:t xml:space="preserve">Here, we aim to bring to light a 66-year-old female with a 21-year history of biopsy-proven LPP and her </w:t>
      </w:r>
      <w:r w:rsidRPr="00A725DC">
        <w:rPr>
          <w:rFonts w:ascii="Times New Roman" w:hAnsi="Times New Roman" w:cs="Times New Roman"/>
          <w:sz w:val="20"/>
        </w:rPr>
        <w:t>agonizing</w:t>
      </w:r>
      <w:r w:rsidRPr="00A725DC">
        <w:rPr>
          <w:rFonts w:ascii="Times New Roman" w:hAnsi="Times New Roman" w:cs="Times New Roman"/>
          <w:sz w:val="20"/>
        </w:rPr>
        <w:t xml:space="preserve"> course of treatments, seeking multiple dermatologists’ opinions</w:t>
      </w:r>
      <w:r>
        <w:rPr>
          <w:rFonts w:ascii="Times New Roman" w:hAnsi="Times New Roman" w:cs="Times New Roman"/>
          <w:sz w:val="20"/>
        </w:rPr>
        <w:t>,</w:t>
      </w:r>
      <w:r w:rsidRPr="00A725DC">
        <w:rPr>
          <w:rFonts w:ascii="Times New Roman" w:hAnsi="Times New Roman" w:cs="Times New Roman"/>
          <w:sz w:val="20"/>
        </w:rPr>
        <w:t xml:space="preserve"> </w:t>
      </w:r>
      <w:r w:rsidRPr="00A725DC">
        <w:rPr>
          <w:rFonts w:ascii="Times New Roman" w:hAnsi="Times New Roman" w:cs="Times New Roman"/>
          <w:sz w:val="20"/>
        </w:rPr>
        <w:t>initially</w:t>
      </w:r>
      <w:r w:rsidRPr="00A725DC">
        <w:rPr>
          <w:rFonts w:ascii="Times New Roman" w:hAnsi="Times New Roman" w:cs="Times New Roman"/>
          <w:sz w:val="20"/>
        </w:rPr>
        <w:t xml:space="preserve"> presenting with brown </w:t>
      </w:r>
      <w:proofErr w:type="spellStart"/>
      <w:r w:rsidRPr="00A725DC">
        <w:rPr>
          <w:rFonts w:ascii="Times New Roman" w:hAnsi="Times New Roman" w:cs="Times New Roman"/>
          <w:sz w:val="20"/>
        </w:rPr>
        <w:t>comedone</w:t>
      </w:r>
      <w:proofErr w:type="spellEnd"/>
      <w:r w:rsidRPr="00A725DC">
        <w:rPr>
          <w:rFonts w:ascii="Times New Roman" w:hAnsi="Times New Roman" w:cs="Times New Roman"/>
          <w:sz w:val="20"/>
        </w:rPr>
        <w:t>-like follicular papules on her trunk. Histopathology diagnosed LPP.</w:t>
      </w:r>
      <w:r>
        <w:rPr>
          <w:rFonts w:ascii="Times New Roman" w:hAnsi="Times New Roman" w:cs="Times New Roman"/>
          <w:sz w:val="20"/>
        </w:rPr>
        <w:t xml:space="preserve"> </w:t>
      </w:r>
      <w:proofErr w:type="spellStart"/>
      <w:r>
        <w:rPr>
          <w:rFonts w:ascii="Times New Roman" w:hAnsi="Times New Roman" w:cs="Times New Roman"/>
          <w:sz w:val="20"/>
        </w:rPr>
        <w:t>Dermovate</w:t>
      </w:r>
      <w:proofErr w:type="spellEnd"/>
      <w:r>
        <w:rPr>
          <w:rFonts w:ascii="Times New Roman" w:hAnsi="Times New Roman" w:cs="Times New Roman"/>
          <w:sz w:val="20"/>
        </w:rPr>
        <w:t xml:space="preserve"> was applied, after 6-</w:t>
      </w:r>
      <w:r w:rsidRPr="00A725DC">
        <w:rPr>
          <w:rFonts w:ascii="Times New Roman" w:hAnsi="Times New Roman" w:cs="Times New Roman"/>
          <w:sz w:val="20"/>
        </w:rPr>
        <w:t xml:space="preserve">months lesions resolved. She represented 18-months later with diffuse scalp hair loss. Unusually, there was no itching, pain or sensitivity, delaying diagnosis. </w:t>
      </w:r>
      <w:proofErr w:type="spellStart"/>
      <w:r w:rsidRPr="00A725DC">
        <w:rPr>
          <w:rFonts w:ascii="Times New Roman" w:hAnsi="Times New Roman" w:cs="Times New Roman"/>
          <w:sz w:val="20"/>
        </w:rPr>
        <w:t>Dermoscopy</w:t>
      </w:r>
      <w:proofErr w:type="spellEnd"/>
      <w:r w:rsidRPr="00A725DC">
        <w:rPr>
          <w:rFonts w:ascii="Times New Roman" w:hAnsi="Times New Roman" w:cs="Times New Roman"/>
          <w:sz w:val="20"/>
        </w:rPr>
        <w:t xml:space="preserve"> showed follicular-</w:t>
      </w:r>
      <w:proofErr w:type="spellStart"/>
      <w:r w:rsidRPr="00A725DC">
        <w:rPr>
          <w:rFonts w:ascii="Times New Roman" w:hAnsi="Times New Roman" w:cs="Times New Roman"/>
          <w:sz w:val="20"/>
        </w:rPr>
        <w:t>miniaturisation</w:t>
      </w:r>
      <w:proofErr w:type="spellEnd"/>
      <w:r w:rsidRPr="00A725DC">
        <w:rPr>
          <w:rFonts w:ascii="Times New Roman" w:hAnsi="Times New Roman" w:cs="Times New Roman"/>
          <w:sz w:val="20"/>
        </w:rPr>
        <w:t xml:space="preserve">, varying hair shaft thickness and </w:t>
      </w:r>
      <w:proofErr w:type="spellStart"/>
      <w:r w:rsidRPr="00A725DC">
        <w:rPr>
          <w:rFonts w:ascii="Times New Roman" w:hAnsi="Times New Roman" w:cs="Times New Roman"/>
          <w:sz w:val="20"/>
        </w:rPr>
        <w:t>telangiectasias</w:t>
      </w:r>
      <w:proofErr w:type="spellEnd"/>
      <w:r w:rsidRPr="00A725DC">
        <w:rPr>
          <w:rFonts w:ascii="Times New Roman" w:hAnsi="Times New Roman" w:cs="Times New Roman"/>
          <w:sz w:val="20"/>
        </w:rPr>
        <w:t xml:space="preserve">. Biopsy revealed </w:t>
      </w:r>
      <w:bookmarkStart w:id="0" w:name="_GoBack"/>
      <w:bookmarkEnd w:id="0"/>
      <w:r w:rsidRPr="00A725DC">
        <w:rPr>
          <w:rFonts w:ascii="Times New Roman" w:hAnsi="Times New Roman" w:cs="Times New Roman"/>
          <w:sz w:val="20"/>
        </w:rPr>
        <w:t xml:space="preserve">perivascular lymphocytic inflammation, follicular hyperkeratosis and mid-isthmic fibroplasia, indicating LPP. Initially, numerous topical- regimes and Prednisolone were prescribed, without improvement. </w:t>
      </w:r>
      <w:proofErr w:type="spellStart"/>
      <w:r w:rsidRPr="00A725DC">
        <w:rPr>
          <w:rFonts w:ascii="Times New Roman" w:hAnsi="Times New Roman" w:cs="Times New Roman"/>
          <w:sz w:val="20"/>
        </w:rPr>
        <w:t>Hydroxychloroqiune</w:t>
      </w:r>
      <w:proofErr w:type="spellEnd"/>
      <w:r w:rsidRPr="00A725DC">
        <w:rPr>
          <w:rFonts w:ascii="Times New Roman" w:hAnsi="Times New Roman" w:cs="Times New Roman"/>
          <w:sz w:val="20"/>
        </w:rPr>
        <w:t xml:space="preserve"> was then started, after a 6-month trial hair thinning, scaling and erythema continued</w:t>
      </w:r>
      <w:r>
        <w:rPr>
          <w:rFonts w:ascii="Times New Roman" w:hAnsi="Times New Roman" w:cs="Times New Roman"/>
          <w:sz w:val="20"/>
        </w:rPr>
        <w:t xml:space="preserve"> (Figure </w:t>
      </w:r>
      <w:r w:rsidRPr="00A725DC">
        <w:rPr>
          <w:rFonts w:ascii="Times New Roman" w:hAnsi="Times New Roman" w:cs="Times New Roman"/>
          <w:sz w:val="20"/>
        </w:rPr>
        <w:t xml:space="preserve">1). The patient was initiated on </w:t>
      </w:r>
      <w:proofErr w:type="spellStart"/>
      <w:r w:rsidRPr="00A725DC">
        <w:rPr>
          <w:rFonts w:ascii="Times New Roman" w:hAnsi="Times New Roman" w:cs="Times New Roman"/>
          <w:sz w:val="20"/>
        </w:rPr>
        <w:t>Mycophenolate</w:t>
      </w:r>
      <w:proofErr w:type="spellEnd"/>
      <w:r w:rsidRPr="00A725DC">
        <w:rPr>
          <w:rFonts w:ascii="Times New Roman" w:hAnsi="Times New Roman" w:cs="Times New Roman"/>
          <w:sz w:val="20"/>
        </w:rPr>
        <w:t xml:space="preserve"> </w:t>
      </w:r>
      <w:proofErr w:type="spellStart"/>
      <w:r w:rsidRPr="00A725DC">
        <w:rPr>
          <w:rFonts w:ascii="Times New Roman" w:hAnsi="Times New Roman" w:cs="Times New Roman"/>
          <w:sz w:val="20"/>
        </w:rPr>
        <w:t>Mofetil</w:t>
      </w:r>
      <w:proofErr w:type="spellEnd"/>
      <w:r>
        <w:rPr>
          <w:rFonts w:ascii="Times New Roman" w:hAnsi="Times New Roman" w:cs="Times New Roman"/>
          <w:sz w:val="20"/>
        </w:rPr>
        <w:t xml:space="preserve"> </w:t>
      </w:r>
      <w:r w:rsidRPr="00A725DC">
        <w:rPr>
          <w:rFonts w:ascii="Times New Roman" w:hAnsi="Times New Roman" w:cs="Times New Roman"/>
          <w:sz w:val="20"/>
        </w:rPr>
        <w:t xml:space="preserve">(MMF), </w:t>
      </w:r>
      <w:proofErr w:type="spellStart"/>
      <w:r w:rsidRPr="00A725DC">
        <w:rPr>
          <w:rFonts w:ascii="Times New Roman" w:hAnsi="Times New Roman" w:cs="Times New Roman"/>
          <w:sz w:val="20"/>
        </w:rPr>
        <w:t>Oxytetracycline</w:t>
      </w:r>
      <w:proofErr w:type="spellEnd"/>
      <w:r w:rsidRPr="00A725DC">
        <w:rPr>
          <w:rFonts w:ascii="Times New Roman" w:hAnsi="Times New Roman" w:cs="Times New Roman"/>
          <w:sz w:val="20"/>
        </w:rPr>
        <w:t xml:space="preserve"> and </w:t>
      </w:r>
      <w:proofErr w:type="spellStart"/>
      <w:r w:rsidRPr="00A725DC">
        <w:rPr>
          <w:rFonts w:ascii="Times New Roman" w:hAnsi="Times New Roman" w:cs="Times New Roman"/>
          <w:sz w:val="20"/>
        </w:rPr>
        <w:t>Dermovate</w:t>
      </w:r>
      <w:proofErr w:type="spellEnd"/>
      <w:r w:rsidRPr="00A725DC">
        <w:rPr>
          <w:rFonts w:ascii="Times New Roman" w:hAnsi="Times New Roman" w:cs="Times New Roman"/>
          <w:sz w:val="20"/>
        </w:rPr>
        <w:t>, showing improvement. After 15-years MMF was tapered and stopped, 6-months later hair loss reoccurred. MMF and Prednisolone were reintroduce</w:t>
      </w:r>
      <w:r>
        <w:rPr>
          <w:rFonts w:ascii="Times New Roman" w:hAnsi="Times New Roman" w:cs="Times New Roman"/>
          <w:sz w:val="20"/>
        </w:rPr>
        <w:t xml:space="preserve">d, </w:t>
      </w:r>
      <w:proofErr w:type="spellStart"/>
      <w:r>
        <w:rPr>
          <w:rFonts w:ascii="Times New Roman" w:hAnsi="Times New Roman" w:cs="Times New Roman"/>
          <w:sz w:val="20"/>
        </w:rPr>
        <w:t>stabilising</w:t>
      </w:r>
      <w:proofErr w:type="spellEnd"/>
      <w:r>
        <w:rPr>
          <w:rFonts w:ascii="Times New Roman" w:hAnsi="Times New Roman" w:cs="Times New Roman"/>
          <w:sz w:val="20"/>
        </w:rPr>
        <w:t xml:space="preserve"> LPP activity (Figure </w:t>
      </w:r>
      <w:r w:rsidRPr="00A725DC">
        <w:rPr>
          <w:rFonts w:ascii="Times New Roman" w:hAnsi="Times New Roman" w:cs="Times New Roman"/>
          <w:sz w:val="20"/>
        </w:rPr>
        <w:t>2).</w:t>
      </w:r>
    </w:p>
    <w:p w:rsidR="00A725DC" w:rsidRDefault="00A725DC" w:rsidP="00A725D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EFFFA7">
            <wp:extent cx="1669773" cy="1200647"/>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0685" cy="1201303"/>
                    </a:xfrm>
                    <a:prstGeom prst="rect">
                      <a:avLst/>
                    </a:prstGeom>
                    <a:noFill/>
                  </pic:spPr>
                </pic:pic>
              </a:graphicData>
            </a:graphic>
          </wp:inline>
        </w:drawing>
      </w:r>
      <w:r>
        <w:rPr>
          <w:rFonts w:ascii="Times New Roman" w:hAnsi="Times New Roman" w:cs="Times New Roman"/>
          <w:noProof/>
          <w:sz w:val="20"/>
        </w:rPr>
        <w:drawing>
          <wp:inline distT="0" distB="0" distL="0" distR="0" wp14:anchorId="32162E2A">
            <wp:extent cx="1113183" cy="11847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5695" cy="1187418"/>
                    </a:xfrm>
                    <a:prstGeom prst="rect">
                      <a:avLst/>
                    </a:prstGeom>
                    <a:noFill/>
                  </pic:spPr>
                </pic:pic>
              </a:graphicData>
            </a:graphic>
          </wp:inline>
        </w:drawing>
      </w:r>
    </w:p>
    <w:p w:rsidR="00A725DC" w:rsidRPr="00A725DC" w:rsidRDefault="00A725DC" w:rsidP="00A725DC">
      <w:pPr>
        <w:jc w:val="center"/>
        <w:rPr>
          <w:rFonts w:ascii="Times New Roman" w:hAnsi="Times New Roman" w:cs="Times New Roman"/>
          <w:i/>
          <w:sz w:val="18"/>
        </w:rPr>
      </w:pPr>
      <w:proofErr w:type="gramStart"/>
      <w:r w:rsidRPr="00A725DC">
        <w:rPr>
          <w:rFonts w:ascii="Times New Roman" w:hAnsi="Times New Roman" w:cs="Times New Roman"/>
          <w:b/>
          <w:i/>
          <w:sz w:val="18"/>
        </w:rPr>
        <w:t>Figure 1.</w:t>
      </w:r>
      <w:proofErr w:type="gramEnd"/>
      <w:r w:rsidRPr="00A725DC">
        <w:rPr>
          <w:rFonts w:ascii="Times New Roman" w:hAnsi="Times New Roman" w:cs="Times New Roman"/>
          <w:i/>
          <w:sz w:val="18"/>
        </w:rPr>
        <w:t xml:space="preserve"> (a) Diffuse thinning of the hair at the vertex and mid-frontal area. (b) Erythema and </w:t>
      </w:r>
      <w:proofErr w:type="spellStart"/>
      <w:r w:rsidRPr="00A725DC">
        <w:rPr>
          <w:rFonts w:ascii="Times New Roman" w:hAnsi="Times New Roman" w:cs="Times New Roman"/>
          <w:i/>
          <w:sz w:val="18"/>
        </w:rPr>
        <w:t>localised</w:t>
      </w:r>
      <w:proofErr w:type="spellEnd"/>
      <w:r w:rsidRPr="00A725DC">
        <w:rPr>
          <w:rFonts w:ascii="Times New Roman" w:hAnsi="Times New Roman" w:cs="Times New Roman"/>
          <w:i/>
          <w:sz w:val="18"/>
        </w:rPr>
        <w:t xml:space="preserve"> scaling on vertex.</w:t>
      </w:r>
    </w:p>
    <w:p w:rsidR="00A725DC" w:rsidRDefault="00A725DC" w:rsidP="00A725D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91E6504">
            <wp:extent cx="1709530" cy="118474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3230" cy="1187308"/>
                    </a:xfrm>
                    <a:prstGeom prst="rect">
                      <a:avLst/>
                    </a:prstGeom>
                    <a:noFill/>
                  </pic:spPr>
                </pic:pic>
              </a:graphicData>
            </a:graphic>
          </wp:inline>
        </w:drawing>
      </w:r>
    </w:p>
    <w:p w:rsidR="00A725DC" w:rsidRPr="00A725DC" w:rsidRDefault="00A725DC" w:rsidP="00A725DC">
      <w:pPr>
        <w:jc w:val="center"/>
        <w:rPr>
          <w:rFonts w:ascii="Times New Roman" w:hAnsi="Times New Roman" w:cs="Times New Roman"/>
          <w:i/>
          <w:sz w:val="18"/>
        </w:rPr>
      </w:pPr>
      <w:proofErr w:type="gramStart"/>
      <w:r w:rsidRPr="00A725DC">
        <w:rPr>
          <w:rFonts w:ascii="Times New Roman" w:hAnsi="Times New Roman" w:cs="Times New Roman"/>
          <w:b/>
          <w:i/>
          <w:sz w:val="18"/>
        </w:rPr>
        <w:t>Figure 2.</w:t>
      </w:r>
      <w:proofErr w:type="gramEnd"/>
      <w:r w:rsidRPr="00A725DC">
        <w:rPr>
          <w:rFonts w:ascii="Times New Roman" w:hAnsi="Times New Roman" w:cs="Times New Roman"/>
          <w:i/>
          <w:sz w:val="18"/>
        </w:rPr>
        <w:t xml:space="preserve"> </w:t>
      </w:r>
      <w:proofErr w:type="gramStart"/>
      <w:r w:rsidRPr="00A725DC">
        <w:rPr>
          <w:rFonts w:ascii="Times New Roman" w:hAnsi="Times New Roman" w:cs="Times New Roman"/>
          <w:i/>
          <w:sz w:val="18"/>
        </w:rPr>
        <w:t>Multiple scarring alopecic patches on the frontal, mid-scalp and vertex regions.</w:t>
      </w:r>
      <w:proofErr w:type="gramEnd"/>
    </w:p>
    <w:p w:rsidR="00A725DC" w:rsidRDefault="00A725DC" w:rsidP="00A725DC">
      <w:pPr>
        <w:jc w:val="both"/>
        <w:rPr>
          <w:rFonts w:ascii="Times New Roman" w:hAnsi="Times New Roman" w:cs="Times New Roman"/>
          <w:sz w:val="20"/>
        </w:rPr>
      </w:pPr>
      <w:r w:rsidRPr="00A725DC">
        <w:rPr>
          <w:rFonts w:ascii="Times New Roman" w:hAnsi="Times New Roman" w:cs="Times New Roman"/>
          <w:b/>
          <w:sz w:val="20"/>
        </w:rPr>
        <w:t>Conclusion</w:t>
      </w:r>
      <w:r w:rsidRPr="00A725DC">
        <w:rPr>
          <w:rFonts w:ascii="Times New Roman" w:hAnsi="Times New Roman" w:cs="Times New Roman"/>
          <w:b/>
          <w:sz w:val="20"/>
        </w:rPr>
        <w:t>:</w:t>
      </w:r>
      <w:r w:rsidRPr="00A725DC">
        <w:rPr>
          <w:rFonts w:ascii="Times New Roman" w:hAnsi="Times New Roman" w:cs="Times New Roman"/>
          <w:sz w:val="20"/>
        </w:rPr>
        <w:t xml:space="preserve"> </w:t>
      </w:r>
      <w:r w:rsidRPr="00A725DC">
        <w:rPr>
          <w:rFonts w:ascii="Times New Roman" w:hAnsi="Times New Roman" w:cs="Times New Roman"/>
          <w:sz w:val="20"/>
        </w:rPr>
        <w:t xml:space="preserve">To conclude, it is important to appreciate the broad clinical spectrum of LLP, occasionally affecting hair follicles on areas besides scalp and not always presenting with classical symptoms of </w:t>
      </w:r>
      <w:proofErr w:type="spellStart"/>
      <w:r w:rsidRPr="00A725DC">
        <w:rPr>
          <w:rFonts w:ascii="Times New Roman" w:hAnsi="Times New Roman" w:cs="Times New Roman"/>
          <w:sz w:val="20"/>
        </w:rPr>
        <w:t>pruritis</w:t>
      </w:r>
      <w:proofErr w:type="spellEnd"/>
      <w:r w:rsidRPr="00A725DC">
        <w:rPr>
          <w:rFonts w:ascii="Times New Roman" w:hAnsi="Times New Roman" w:cs="Times New Roman"/>
          <w:sz w:val="20"/>
        </w:rPr>
        <w:t xml:space="preserve"> and </w:t>
      </w:r>
      <w:proofErr w:type="spellStart"/>
      <w:r w:rsidRPr="00A725DC">
        <w:rPr>
          <w:rFonts w:ascii="Times New Roman" w:hAnsi="Times New Roman" w:cs="Times New Roman"/>
          <w:sz w:val="20"/>
        </w:rPr>
        <w:t>trichodynia</w:t>
      </w:r>
      <w:proofErr w:type="spellEnd"/>
      <w:r w:rsidRPr="00A725DC">
        <w:rPr>
          <w:rFonts w:ascii="Times New Roman" w:hAnsi="Times New Roman" w:cs="Times New Roman"/>
          <w:sz w:val="20"/>
        </w:rPr>
        <w:t xml:space="preserve">. </w:t>
      </w:r>
      <w:r w:rsidRPr="00A725DC">
        <w:rPr>
          <w:rFonts w:ascii="Times New Roman" w:hAnsi="Times New Roman" w:cs="Times New Roman"/>
          <w:sz w:val="20"/>
        </w:rPr>
        <w:lastRenderedPageBreak/>
        <w:t xml:space="preserve">Due to LLP’s recalcitrant nature and difficulty diagnosing, it is important to initiate treatment promptly with consideration of systemic agents early to prevent scarring. Poor understanding of this disease and lack of </w:t>
      </w:r>
      <w:r w:rsidR="00420387" w:rsidRPr="00A725DC">
        <w:rPr>
          <w:rFonts w:ascii="Times New Roman" w:hAnsi="Times New Roman" w:cs="Times New Roman"/>
          <w:sz w:val="20"/>
        </w:rPr>
        <w:t>standardized</w:t>
      </w:r>
      <w:r w:rsidRPr="00A725DC">
        <w:rPr>
          <w:rFonts w:ascii="Times New Roman" w:hAnsi="Times New Roman" w:cs="Times New Roman"/>
          <w:sz w:val="20"/>
        </w:rPr>
        <w:t xml:space="preserve"> treatments necessitates further study of this condition.</w:t>
      </w:r>
    </w:p>
    <w:p w:rsidR="00A725DC" w:rsidRPr="00A725DC" w:rsidRDefault="00A725DC" w:rsidP="00A725DC">
      <w:pPr>
        <w:rPr>
          <w:rFonts w:ascii="Times New Roman" w:hAnsi="Times New Roman" w:cs="Times New Roman"/>
          <w:b/>
          <w:sz w:val="24"/>
        </w:rPr>
      </w:pPr>
      <w:r w:rsidRPr="00A725DC">
        <w:rPr>
          <w:rFonts w:ascii="Times New Roman" w:hAnsi="Times New Roman" w:cs="Times New Roman"/>
          <w:b/>
          <w:sz w:val="24"/>
        </w:rPr>
        <w:t>Biography</w:t>
      </w:r>
    </w:p>
    <w:p w:rsidR="00A725DC" w:rsidRPr="00A725DC" w:rsidRDefault="00A725DC" w:rsidP="00A725DC">
      <w:pPr>
        <w:jc w:val="both"/>
        <w:rPr>
          <w:rFonts w:ascii="Times New Roman" w:hAnsi="Times New Roman" w:cs="Times New Roman"/>
          <w:sz w:val="20"/>
        </w:rPr>
      </w:pPr>
      <w:proofErr w:type="spellStart"/>
      <w:r w:rsidRPr="00A725DC">
        <w:rPr>
          <w:rFonts w:ascii="Times New Roman" w:hAnsi="Times New Roman" w:cs="Times New Roman"/>
          <w:sz w:val="20"/>
        </w:rPr>
        <w:t>Yasmin</w:t>
      </w:r>
      <w:proofErr w:type="spellEnd"/>
      <w:r w:rsidRPr="00A725DC">
        <w:rPr>
          <w:rFonts w:ascii="Times New Roman" w:hAnsi="Times New Roman" w:cs="Times New Roman"/>
          <w:sz w:val="20"/>
        </w:rPr>
        <w:t xml:space="preserve"> </w:t>
      </w:r>
      <w:proofErr w:type="spellStart"/>
      <w:r w:rsidRPr="00A725DC">
        <w:rPr>
          <w:rFonts w:ascii="Times New Roman" w:hAnsi="Times New Roman" w:cs="Times New Roman"/>
          <w:sz w:val="20"/>
        </w:rPr>
        <w:t>Divecha</w:t>
      </w:r>
      <w:proofErr w:type="spellEnd"/>
      <w:r w:rsidRPr="00A725DC">
        <w:rPr>
          <w:rFonts w:ascii="Times New Roman" w:hAnsi="Times New Roman" w:cs="Times New Roman"/>
          <w:sz w:val="20"/>
        </w:rPr>
        <w:t xml:space="preserve"> completed her medical training at King’s College London</w:t>
      </w:r>
      <w:r>
        <w:rPr>
          <w:rFonts w:ascii="Times New Roman" w:hAnsi="Times New Roman" w:cs="Times New Roman"/>
          <w:sz w:val="20"/>
        </w:rPr>
        <w:t xml:space="preserve"> and</w:t>
      </w:r>
      <w:r w:rsidRPr="00A725DC">
        <w:rPr>
          <w:rFonts w:ascii="Times New Roman" w:hAnsi="Times New Roman" w:cs="Times New Roman"/>
          <w:sz w:val="20"/>
        </w:rPr>
        <w:t xml:space="preserve"> is currently a Foundation Doctor at Queen’s Hospital, with a keen interest in Medical Research and Education, especially in Dermatology. She believes amplifying </w:t>
      </w:r>
      <w:r w:rsidRPr="00A725DC">
        <w:rPr>
          <w:rFonts w:ascii="Times New Roman" w:hAnsi="Times New Roman" w:cs="Times New Roman"/>
          <w:sz w:val="20"/>
        </w:rPr>
        <w:t>trainee’s</w:t>
      </w:r>
      <w:r w:rsidRPr="00A725DC">
        <w:rPr>
          <w:rFonts w:ascii="Times New Roman" w:hAnsi="Times New Roman" w:cs="Times New Roman"/>
          <w:sz w:val="20"/>
        </w:rPr>
        <w:t xml:space="preserve"> views and experiences has an important role in improving medical education, leading to advances in Dermatology and ultimately revolutionizing skin and hair research.</w:t>
      </w:r>
    </w:p>
    <w:sectPr w:rsidR="00A725DC" w:rsidRPr="00A72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5DC"/>
    <w:rsid w:val="0032354D"/>
    <w:rsid w:val="00420387"/>
    <w:rsid w:val="00474203"/>
    <w:rsid w:val="004F36F3"/>
    <w:rsid w:val="00535872"/>
    <w:rsid w:val="00924B33"/>
    <w:rsid w:val="00A72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2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5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2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2023-06-12T13:04:00Z</dcterms:created>
  <dcterms:modified xsi:type="dcterms:W3CDTF">2023-06-12T13:19:00Z</dcterms:modified>
</cp:coreProperties>
</file>