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C08DB">
      <w:pPr>
        <w:rPr>
          <w:rFonts w:ascii="Times New Roman" w:hAnsi="Times New Roman" w:cs="Times New Roman"/>
          <w:b/>
          <w:sz w:val="32"/>
        </w:rPr>
      </w:pPr>
      <w:commentRangeStart w:id="0"/>
      <w:r w:rsidRPr="00DC08DB">
        <w:rPr>
          <w:rFonts w:ascii="Times New Roman" w:hAnsi="Times New Roman" w:cs="Times New Roman"/>
          <w:b/>
          <w:sz w:val="32"/>
        </w:rPr>
        <w:t xml:space="preserve">Effects of a </w:t>
      </w:r>
      <w:proofErr w:type="spellStart"/>
      <w:r w:rsidRPr="00DC08DB">
        <w:rPr>
          <w:rFonts w:ascii="Times New Roman" w:hAnsi="Times New Roman" w:cs="Times New Roman"/>
          <w:b/>
          <w:sz w:val="32"/>
        </w:rPr>
        <w:t>ketogenic</w:t>
      </w:r>
      <w:proofErr w:type="spellEnd"/>
      <w:r w:rsidRPr="00DC08DB">
        <w:rPr>
          <w:rFonts w:ascii="Times New Roman" w:hAnsi="Times New Roman" w:cs="Times New Roman"/>
          <w:b/>
          <w:sz w:val="32"/>
        </w:rPr>
        <w:t xml:space="preserve"> diet in overweight women with polycystic ovary syndrome</w:t>
      </w:r>
      <w:commentRangeEnd w:id="0"/>
      <w:r w:rsidR="00B631C8">
        <w:rPr>
          <w:rStyle w:val="CommentReference"/>
        </w:rPr>
        <w:commentReference w:id="0"/>
      </w:r>
    </w:p>
    <w:p w:rsidR="00DC08DB" w:rsidRDefault="00DC08DB">
      <w:pPr>
        <w:rPr>
          <w:rFonts w:ascii="Times New Roman" w:hAnsi="Times New Roman" w:cs="Times New Roman"/>
          <w:sz w:val="24"/>
        </w:rPr>
      </w:pPr>
      <w:proofErr w:type="spellStart"/>
      <w:r w:rsidRPr="00DC08DB">
        <w:rPr>
          <w:rFonts w:ascii="Times New Roman" w:hAnsi="Times New Roman" w:cs="Times New Roman"/>
          <w:sz w:val="24"/>
        </w:rPr>
        <w:t>Hamza</w:t>
      </w:r>
      <w:proofErr w:type="spellEnd"/>
      <w:r w:rsidRPr="00DC08DB">
        <w:rPr>
          <w:rFonts w:ascii="Times New Roman" w:hAnsi="Times New Roman" w:cs="Times New Roman"/>
          <w:sz w:val="24"/>
        </w:rPr>
        <w:t xml:space="preserve"> Jan</w:t>
      </w:r>
    </w:p>
    <w:p w:rsidR="00DC08DB" w:rsidRPr="00DC08DB" w:rsidRDefault="00DC08DB">
      <w:pPr>
        <w:rPr>
          <w:rFonts w:ascii="Times New Roman" w:hAnsi="Times New Roman" w:cs="Times New Roman"/>
        </w:rPr>
      </w:pPr>
      <w:r w:rsidRPr="00DC08DB">
        <w:rPr>
          <w:rFonts w:ascii="Times New Roman" w:hAnsi="Times New Roman" w:cs="Times New Roman"/>
        </w:rPr>
        <w:t>University of Agriculture, Pakistan</w:t>
      </w:r>
    </w:p>
    <w:p w:rsidR="00DC08DB" w:rsidRPr="00DC08DB" w:rsidRDefault="00DC08DB" w:rsidP="00DC08DB">
      <w:pPr>
        <w:jc w:val="center"/>
        <w:rPr>
          <w:rFonts w:ascii="Times New Roman" w:hAnsi="Times New Roman" w:cs="Times New Roman"/>
          <w:b/>
          <w:sz w:val="24"/>
        </w:rPr>
      </w:pPr>
      <w:r w:rsidRPr="00DC08DB">
        <w:rPr>
          <w:rFonts w:ascii="Times New Roman" w:hAnsi="Times New Roman" w:cs="Times New Roman"/>
          <w:b/>
          <w:sz w:val="24"/>
        </w:rPr>
        <w:t>Abstract</w:t>
      </w:r>
    </w:p>
    <w:p w:rsidR="00DC08DB" w:rsidRPr="00DC08DB" w:rsidRDefault="00DC08DB" w:rsidP="00DC08DB">
      <w:pPr>
        <w:jc w:val="both"/>
        <w:rPr>
          <w:rFonts w:ascii="Times New Roman" w:hAnsi="Times New Roman" w:cs="Times New Roman"/>
          <w:sz w:val="20"/>
        </w:rPr>
      </w:pPr>
      <w:r w:rsidRPr="00DC08DB">
        <w:rPr>
          <w:rFonts w:ascii="Times New Roman" w:hAnsi="Times New Roman" w:cs="Times New Roman"/>
          <w:sz w:val="20"/>
        </w:rPr>
        <w:t>Poly</w:t>
      </w:r>
      <w:r>
        <w:rPr>
          <w:rFonts w:ascii="Times New Roman" w:hAnsi="Times New Roman" w:cs="Times New Roman"/>
          <w:sz w:val="20"/>
        </w:rPr>
        <w:t xml:space="preserve"> </w:t>
      </w:r>
      <w:r w:rsidRPr="00DC08DB">
        <w:rPr>
          <w:rFonts w:ascii="Times New Roman" w:hAnsi="Times New Roman" w:cs="Times New Roman"/>
          <w:sz w:val="20"/>
        </w:rPr>
        <w:t xml:space="preserve">Cystic Ovary Syndrome </w:t>
      </w:r>
      <w:r w:rsidRPr="00DC08DB">
        <w:rPr>
          <w:rFonts w:ascii="Times New Roman" w:hAnsi="Times New Roman" w:cs="Times New Roman"/>
          <w:sz w:val="20"/>
        </w:rPr>
        <w:t xml:space="preserve">(PCOS) is the most common endocrine disorder in women during reproductive age. It is characterized clinically by </w:t>
      </w:r>
      <w:proofErr w:type="spellStart"/>
      <w:r w:rsidRPr="00DC08DB">
        <w:rPr>
          <w:rFonts w:ascii="Times New Roman" w:hAnsi="Times New Roman" w:cs="Times New Roman"/>
          <w:sz w:val="20"/>
        </w:rPr>
        <w:t>oligo</w:t>
      </w:r>
      <w:proofErr w:type="spellEnd"/>
      <w:r w:rsidRPr="00DC08DB">
        <w:rPr>
          <w:rFonts w:ascii="Times New Roman" w:hAnsi="Times New Roman" w:cs="Times New Roman"/>
          <w:sz w:val="20"/>
        </w:rPr>
        <w:t>-ovulation or</w:t>
      </w:r>
      <w:r w:rsidR="00B631C8">
        <w:rPr>
          <w:rFonts w:ascii="Times New Roman" w:hAnsi="Times New Roman" w:cs="Times New Roman"/>
          <w:sz w:val="20"/>
        </w:rPr>
        <w:t xml:space="preserve"> anovulation, hyper-</w:t>
      </w:r>
      <w:proofErr w:type="spellStart"/>
      <w:r w:rsidR="00B631C8">
        <w:rPr>
          <w:rFonts w:ascii="Times New Roman" w:hAnsi="Times New Roman" w:cs="Times New Roman"/>
          <w:sz w:val="20"/>
        </w:rPr>
        <w:t>androgenism</w:t>
      </w:r>
      <w:proofErr w:type="spellEnd"/>
      <w:r w:rsidRPr="00DC08DB">
        <w:rPr>
          <w:rFonts w:ascii="Times New Roman" w:hAnsi="Times New Roman" w:cs="Times New Roman"/>
          <w:sz w:val="20"/>
        </w:rPr>
        <w:t xml:space="preserve"> and the presence of polycystic ovaries. It is associated with an increased prevalence of metabolic syndrome, cardiovascular disease and type 2 diabetes. The onset of PCOS has been associated to several hereditary and environmental factors, but insulin resistance plays a key </w:t>
      </w:r>
      <w:proofErr w:type="spellStart"/>
      <w:r w:rsidRPr="00DC08DB">
        <w:rPr>
          <w:rFonts w:ascii="Times New Roman" w:hAnsi="Times New Roman" w:cs="Times New Roman"/>
          <w:sz w:val="20"/>
        </w:rPr>
        <w:t>pathogenetic</w:t>
      </w:r>
      <w:proofErr w:type="spellEnd"/>
      <w:r w:rsidRPr="00DC08DB">
        <w:rPr>
          <w:rFonts w:ascii="Times New Roman" w:hAnsi="Times New Roman" w:cs="Times New Roman"/>
          <w:sz w:val="20"/>
        </w:rPr>
        <w:t xml:space="preserve"> role. We sought to investigate the effects of a </w:t>
      </w:r>
      <w:proofErr w:type="spellStart"/>
      <w:r w:rsidRPr="00DC08DB">
        <w:rPr>
          <w:rFonts w:ascii="Times New Roman" w:hAnsi="Times New Roman" w:cs="Times New Roman"/>
          <w:sz w:val="20"/>
        </w:rPr>
        <w:t>Ketogenic</w:t>
      </w:r>
      <w:proofErr w:type="spellEnd"/>
      <w:r w:rsidRPr="00DC08DB">
        <w:rPr>
          <w:rFonts w:ascii="Times New Roman" w:hAnsi="Times New Roman" w:cs="Times New Roman"/>
          <w:sz w:val="20"/>
        </w:rPr>
        <w:t xml:space="preserve"> Diet </w:t>
      </w:r>
      <w:r w:rsidRPr="00DC08DB">
        <w:rPr>
          <w:rFonts w:ascii="Times New Roman" w:hAnsi="Times New Roman" w:cs="Times New Roman"/>
          <w:sz w:val="20"/>
        </w:rPr>
        <w:t xml:space="preserve">(KD) on women of childbearing age with a diagnosis of PCOS. Fourteen overweight women with diagnosis of PCOS underwent to a </w:t>
      </w:r>
      <w:proofErr w:type="spellStart"/>
      <w:r w:rsidRPr="00DC08DB">
        <w:rPr>
          <w:rFonts w:ascii="Times New Roman" w:hAnsi="Times New Roman" w:cs="Times New Roman"/>
          <w:sz w:val="20"/>
        </w:rPr>
        <w:t>Ketogenic</w:t>
      </w:r>
      <w:proofErr w:type="spellEnd"/>
      <w:r w:rsidRPr="00DC08DB">
        <w:rPr>
          <w:rFonts w:ascii="Times New Roman" w:hAnsi="Times New Roman" w:cs="Times New Roman"/>
          <w:sz w:val="20"/>
        </w:rPr>
        <w:t xml:space="preserve"> Mediterranean </w:t>
      </w:r>
      <w:r w:rsidRPr="00DC08DB">
        <w:rPr>
          <w:rFonts w:ascii="Times New Roman" w:hAnsi="Times New Roman" w:cs="Times New Roman"/>
          <w:sz w:val="20"/>
        </w:rPr>
        <w:t xml:space="preserve">diet with </w:t>
      </w:r>
      <w:proofErr w:type="spellStart"/>
      <w:r w:rsidRPr="00DC08DB">
        <w:rPr>
          <w:rFonts w:ascii="Times New Roman" w:hAnsi="Times New Roman" w:cs="Times New Roman"/>
          <w:sz w:val="20"/>
        </w:rPr>
        <w:t>Phyo</w:t>
      </w:r>
      <w:bookmarkStart w:id="1" w:name="_GoBack"/>
      <w:bookmarkEnd w:id="1"/>
      <w:r w:rsidRPr="00DC08DB">
        <w:rPr>
          <w:rFonts w:ascii="Times New Roman" w:hAnsi="Times New Roman" w:cs="Times New Roman"/>
          <w:sz w:val="20"/>
        </w:rPr>
        <w:t>extracts</w:t>
      </w:r>
      <w:proofErr w:type="spellEnd"/>
      <w:r w:rsidRPr="00DC08DB">
        <w:rPr>
          <w:rFonts w:ascii="Times New Roman" w:hAnsi="Times New Roman" w:cs="Times New Roman"/>
          <w:sz w:val="20"/>
        </w:rPr>
        <w:t xml:space="preserve"> </w:t>
      </w:r>
      <w:r w:rsidRPr="00DC08DB">
        <w:rPr>
          <w:rFonts w:ascii="Times New Roman" w:hAnsi="Times New Roman" w:cs="Times New Roman"/>
          <w:sz w:val="20"/>
        </w:rPr>
        <w:t xml:space="preserve">(KEMEPHY) for 12 week. Changes in body weight, </w:t>
      </w:r>
      <w:r w:rsidRPr="00DC08DB">
        <w:rPr>
          <w:rFonts w:ascii="Times New Roman" w:hAnsi="Times New Roman" w:cs="Times New Roman"/>
          <w:sz w:val="20"/>
        </w:rPr>
        <w:t xml:space="preserve">Body Mass Index </w:t>
      </w:r>
      <w:r w:rsidRPr="00DC08DB">
        <w:rPr>
          <w:rFonts w:ascii="Times New Roman" w:hAnsi="Times New Roman" w:cs="Times New Roman"/>
          <w:sz w:val="20"/>
        </w:rPr>
        <w:t xml:space="preserve">(BMI), </w:t>
      </w:r>
      <w:r w:rsidRPr="00DC08DB">
        <w:rPr>
          <w:rFonts w:ascii="Times New Roman" w:hAnsi="Times New Roman" w:cs="Times New Roman"/>
          <w:sz w:val="20"/>
        </w:rPr>
        <w:t xml:space="preserve">Fat Body Mass </w:t>
      </w:r>
      <w:r w:rsidRPr="00DC08DB">
        <w:rPr>
          <w:rFonts w:ascii="Times New Roman" w:hAnsi="Times New Roman" w:cs="Times New Roman"/>
          <w:sz w:val="20"/>
        </w:rPr>
        <w:t xml:space="preserve">(FBM), </w:t>
      </w:r>
      <w:r w:rsidRPr="00DC08DB">
        <w:rPr>
          <w:rFonts w:ascii="Times New Roman" w:hAnsi="Times New Roman" w:cs="Times New Roman"/>
          <w:sz w:val="20"/>
        </w:rPr>
        <w:t xml:space="preserve">Lean Body Mass </w:t>
      </w:r>
      <w:r w:rsidRPr="00DC08DB">
        <w:rPr>
          <w:rFonts w:ascii="Times New Roman" w:hAnsi="Times New Roman" w:cs="Times New Roman"/>
          <w:sz w:val="20"/>
        </w:rPr>
        <w:t xml:space="preserve">(LBM), </w:t>
      </w:r>
      <w:r w:rsidRPr="00DC08DB">
        <w:rPr>
          <w:rFonts w:ascii="Times New Roman" w:hAnsi="Times New Roman" w:cs="Times New Roman"/>
          <w:sz w:val="20"/>
        </w:rPr>
        <w:t xml:space="preserve">Visceral Adipose Tissue </w:t>
      </w:r>
      <w:r w:rsidRPr="00DC08DB">
        <w:rPr>
          <w:rFonts w:ascii="Times New Roman" w:hAnsi="Times New Roman" w:cs="Times New Roman"/>
          <w:sz w:val="20"/>
        </w:rPr>
        <w:t xml:space="preserve">(VAT), insulin, glucose, HOMA-IR, total cholesterol, </w:t>
      </w:r>
      <w:r w:rsidRPr="00DC08DB">
        <w:rPr>
          <w:rFonts w:ascii="Times New Roman" w:hAnsi="Times New Roman" w:cs="Times New Roman"/>
          <w:sz w:val="20"/>
        </w:rPr>
        <w:t xml:space="preserve">Low Density Lipoprotein </w:t>
      </w:r>
      <w:r w:rsidRPr="00DC08DB">
        <w:rPr>
          <w:rFonts w:ascii="Times New Roman" w:hAnsi="Times New Roman" w:cs="Times New Roman"/>
          <w:sz w:val="20"/>
        </w:rPr>
        <w:t xml:space="preserve">(LDL), </w:t>
      </w:r>
      <w:r w:rsidRPr="00DC08DB">
        <w:rPr>
          <w:rFonts w:ascii="Times New Roman" w:hAnsi="Times New Roman" w:cs="Times New Roman"/>
          <w:sz w:val="20"/>
        </w:rPr>
        <w:t xml:space="preserve">High Density Lipoprotein </w:t>
      </w:r>
      <w:r w:rsidRPr="00DC08DB">
        <w:rPr>
          <w:rFonts w:ascii="Times New Roman" w:hAnsi="Times New Roman" w:cs="Times New Roman"/>
          <w:sz w:val="20"/>
        </w:rPr>
        <w:t xml:space="preserve">(HDL), </w:t>
      </w:r>
      <w:r w:rsidRPr="00DC08DB">
        <w:rPr>
          <w:rFonts w:ascii="Times New Roman" w:hAnsi="Times New Roman" w:cs="Times New Roman"/>
          <w:sz w:val="20"/>
        </w:rPr>
        <w:t xml:space="preserve">Triglycerides </w:t>
      </w:r>
      <w:r w:rsidRPr="00DC08DB">
        <w:rPr>
          <w:rFonts w:ascii="Times New Roman" w:hAnsi="Times New Roman" w:cs="Times New Roman"/>
          <w:sz w:val="20"/>
        </w:rPr>
        <w:t xml:space="preserve">(TGs), total and free testosterone, </w:t>
      </w:r>
      <w:r w:rsidRPr="00DC08DB">
        <w:rPr>
          <w:rFonts w:ascii="Times New Roman" w:hAnsi="Times New Roman" w:cs="Times New Roman"/>
          <w:sz w:val="20"/>
        </w:rPr>
        <w:t xml:space="preserve">Luteinizing Hormone </w:t>
      </w:r>
      <w:r w:rsidRPr="00DC08DB">
        <w:rPr>
          <w:rFonts w:ascii="Times New Roman" w:hAnsi="Times New Roman" w:cs="Times New Roman"/>
          <w:sz w:val="20"/>
        </w:rPr>
        <w:t xml:space="preserve">(LH), </w:t>
      </w:r>
      <w:r w:rsidRPr="00DC08DB">
        <w:rPr>
          <w:rFonts w:ascii="Times New Roman" w:hAnsi="Times New Roman" w:cs="Times New Roman"/>
          <w:sz w:val="20"/>
        </w:rPr>
        <w:t xml:space="preserve">Follicle Stimulating Hormone </w:t>
      </w:r>
      <w:r w:rsidRPr="00DC08DB">
        <w:rPr>
          <w:rFonts w:ascii="Times New Roman" w:hAnsi="Times New Roman" w:cs="Times New Roman"/>
          <w:sz w:val="20"/>
        </w:rPr>
        <w:t xml:space="preserve">(FSH); </w:t>
      </w:r>
      <w:proofErr w:type="spellStart"/>
      <w:r w:rsidRPr="00DC08DB">
        <w:rPr>
          <w:rFonts w:ascii="Times New Roman" w:hAnsi="Times New Roman" w:cs="Times New Roman"/>
          <w:sz w:val="20"/>
        </w:rPr>
        <w:t>Dehydroepiandrosterone</w:t>
      </w:r>
      <w:proofErr w:type="spellEnd"/>
      <w:r w:rsidRPr="00DC08DB">
        <w:rPr>
          <w:rFonts w:ascii="Times New Roman" w:hAnsi="Times New Roman" w:cs="Times New Roman"/>
          <w:sz w:val="20"/>
        </w:rPr>
        <w:t xml:space="preserve"> </w:t>
      </w:r>
      <w:r w:rsidRPr="00DC08DB">
        <w:rPr>
          <w:rFonts w:ascii="Times New Roman" w:hAnsi="Times New Roman" w:cs="Times New Roman"/>
          <w:sz w:val="20"/>
        </w:rPr>
        <w:t xml:space="preserve">sulfate (DHEAs), estradiol, progesterone, </w:t>
      </w:r>
      <w:r w:rsidRPr="00DC08DB">
        <w:rPr>
          <w:rFonts w:ascii="Times New Roman" w:hAnsi="Times New Roman" w:cs="Times New Roman"/>
          <w:sz w:val="20"/>
        </w:rPr>
        <w:t xml:space="preserve">Sex Hormone Binding Globulin </w:t>
      </w:r>
      <w:r w:rsidRPr="00DC08DB">
        <w:rPr>
          <w:rFonts w:ascii="Times New Roman" w:hAnsi="Times New Roman" w:cs="Times New Roman"/>
          <w:sz w:val="20"/>
        </w:rPr>
        <w:t xml:space="preserve">(SHBG) and </w:t>
      </w:r>
      <w:proofErr w:type="spellStart"/>
      <w:r w:rsidRPr="00DC08DB">
        <w:rPr>
          <w:rFonts w:ascii="Times New Roman" w:hAnsi="Times New Roman" w:cs="Times New Roman"/>
          <w:sz w:val="20"/>
        </w:rPr>
        <w:t>Ferriman</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Gallwey</w:t>
      </w:r>
      <w:proofErr w:type="spellEnd"/>
      <w:r w:rsidRPr="00DC08DB">
        <w:rPr>
          <w:rFonts w:ascii="Times New Roman" w:hAnsi="Times New Roman" w:cs="Times New Roman"/>
          <w:sz w:val="20"/>
        </w:rPr>
        <w:t xml:space="preserve"> score were evaluated. After 12 weeks, anthropometric and body composition measurements revealed a signific</w:t>
      </w:r>
      <w:r>
        <w:rPr>
          <w:rFonts w:ascii="Times New Roman" w:hAnsi="Times New Roman" w:cs="Times New Roman"/>
          <w:sz w:val="20"/>
        </w:rPr>
        <w:t>ant reduction of body weight (−9.43 kg), BMI (−</w:t>
      </w:r>
      <w:r w:rsidRPr="00DC08DB">
        <w:rPr>
          <w:rFonts w:ascii="Times New Roman" w:hAnsi="Times New Roman" w:cs="Times New Roman"/>
          <w:sz w:val="20"/>
        </w:rPr>
        <w:t xml:space="preserve">3.35), FBM (8.29 kg) and VAT. There was a significant, slightly decrease of LBM. </w:t>
      </w:r>
      <w:r w:rsidRPr="00DC08DB">
        <w:rPr>
          <w:rFonts w:ascii="Times New Roman" w:hAnsi="Times New Roman" w:cs="Times New Roman"/>
          <w:sz w:val="20"/>
        </w:rPr>
        <w:t>A significant decrease in glucose and insulin blood levels was</w:t>
      </w:r>
      <w:r w:rsidRPr="00DC08DB">
        <w:rPr>
          <w:rFonts w:ascii="Times New Roman" w:hAnsi="Times New Roman" w:cs="Times New Roman"/>
          <w:sz w:val="20"/>
        </w:rPr>
        <w:t xml:space="preserve"> observed, together with a significant improvement of HOMA-IR. A significant decrease of triglycerides, total cholesterol and LDL were observed along with a rise in HDL levels. The LH/FSH ratio,</w:t>
      </w:r>
      <w:r>
        <w:rPr>
          <w:rFonts w:ascii="Times New Roman" w:hAnsi="Times New Roman" w:cs="Times New Roman"/>
          <w:sz w:val="20"/>
        </w:rPr>
        <w:t xml:space="preserve"> LH total and free testosterone</w:t>
      </w:r>
      <w:r w:rsidRPr="00DC08DB">
        <w:rPr>
          <w:rFonts w:ascii="Times New Roman" w:hAnsi="Times New Roman" w:cs="Times New Roman"/>
          <w:sz w:val="20"/>
        </w:rPr>
        <w:t xml:space="preserve"> and DHEAS blood levels were also significantly reduced. Estradiol, progesterone and SHBG increased. The </w:t>
      </w:r>
      <w:proofErr w:type="spellStart"/>
      <w:r w:rsidRPr="00DC08DB">
        <w:rPr>
          <w:rFonts w:ascii="Times New Roman" w:hAnsi="Times New Roman" w:cs="Times New Roman"/>
          <w:sz w:val="20"/>
        </w:rPr>
        <w:t>Ferriman</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Gallwey</w:t>
      </w:r>
      <w:proofErr w:type="spellEnd"/>
      <w:r w:rsidRPr="00DC08DB">
        <w:rPr>
          <w:rFonts w:ascii="Times New Roman" w:hAnsi="Times New Roman" w:cs="Times New Roman"/>
          <w:sz w:val="20"/>
        </w:rPr>
        <w:t xml:space="preserve"> Score was slightly, although not significantly, reduced.</w:t>
      </w:r>
    </w:p>
    <w:p w:rsidR="00DC08DB" w:rsidRDefault="00DC08DB" w:rsidP="00DC08DB">
      <w:pPr>
        <w:jc w:val="both"/>
        <w:rPr>
          <w:rFonts w:ascii="Times New Roman" w:hAnsi="Times New Roman" w:cs="Times New Roman"/>
          <w:sz w:val="20"/>
        </w:rPr>
      </w:pPr>
      <w:r w:rsidRPr="00DC08DB">
        <w:rPr>
          <w:rFonts w:ascii="Times New Roman" w:hAnsi="Times New Roman" w:cs="Times New Roman"/>
          <w:b/>
          <w:sz w:val="20"/>
        </w:rPr>
        <w:t>Conclusion</w:t>
      </w:r>
      <w:r w:rsidRPr="00DC08DB">
        <w:rPr>
          <w:rFonts w:ascii="Times New Roman" w:hAnsi="Times New Roman" w:cs="Times New Roman"/>
          <w:b/>
          <w:sz w:val="20"/>
        </w:rPr>
        <w:t>:</w:t>
      </w:r>
      <w:r w:rsidRPr="00DC08DB">
        <w:rPr>
          <w:rFonts w:ascii="Times New Roman" w:hAnsi="Times New Roman" w:cs="Times New Roman"/>
          <w:sz w:val="20"/>
        </w:rPr>
        <w:t xml:space="preserve"> </w:t>
      </w:r>
      <w:r w:rsidRPr="00DC08DB">
        <w:rPr>
          <w:rFonts w:ascii="Times New Roman" w:hAnsi="Times New Roman" w:cs="Times New Roman"/>
          <w:sz w:val="20"/>
        </w:rPr>
        <w:t>Our results suggest that a KD may be considered as a valuable non-pharmacological treatment for PCOS. Longer treatment periods should be tested to verify the effect of a KD on the dermatological aspects of PCOS.</w:t>
      </w:r>
    </w:p>
    <w:p w:rsidR="00DC08DB" w:rsidRPr="00DC08DB" w:rsidRDefault="00DC08DB" w:rsidP="00DC08DB">
      <w:pPr>
        <w:rPr>
          <w:rFonts w:ascii="Times New Roman" w:hAnsi="Times New Roman" w:cs="Times New Roman"/>
          <w:b/>
          <w:sz w:val="24"/>
        </w:rPr>
      </w:pPr>
      <w:r w:rsidRPr="00DC08DB">
        <w:rPr>
          <w:rFonts w:ascii="Times New Roman" w:hAnsi="Times New Roman" w:cs="Times New Roman"/>
          <w:b/>
          <w:sz w:val="24"/>
        </w:rPr>
        <w:t>Biography</w:t>
      </w:r>
    </w:p>
    <w:p w:rsidR="00DC08DB" w:rsidRPr="00DC08DB" w:rsidRDefault="00DC08DB" w:rsidP="00DC08DB">
      <w:pPr>
        <w:jc w:val="both"/>
        <w:rPr>
          <w:rFonts w:ascii="Times New Roman" w:hAnsi="Times New Roman" w:cs="Times New Roman"/>
          <w:sz w:val="20"/>
        </w:rPr>
      </w:pPr>
      <w:proofErr w:type="spellStart"/>
      <w:r>
        <w:rPr>
          <w:rFonts w:ascii="Times New Roman" w:hAnsi="Times New Roman" w:cs="Times New Roman"/>
          <w:sz w:val="20"/>
        </w:rPr>
        <w:t>Hamza</w:t>
      </w:r>
      <w:proofErr w:type="spellEnd"/>
      <w:r>
        <w:rPr>
          <w:rFonts w:ascii="Times New Roman" w:hAnsi="Times New Roman" w:cs="Times New Roman"/>
          <w:sz w:val="20"/>
        </w:rPr>
        <w:t xml:space="preserve"> Jan received his MSc</w:t>
      </w:r>
      <w:r w:rsidRPr="00DC08DB">
        <w:rPr>
          <w:rFonts w:ascii="Times New Roman" w:hAnsi="Times New Roman" w:cs="Times New Roman"/>
          <w:sz w:val="20"/>
        </w:rPr>
        <w:t xml:space="preserve"> (</w:t>
      </w:r>
      <w:proofErr w:type="spellStart"/>
      <w:r w:rsidRPr="00DC08DB">
        <w:rPr>
          <w:rFonts w:ascii="Times New Roman" w:hAnsi="Times New Roman" w:cs="Times New Roman"/>
          <w:sz w:val="20"/>
        </w:rPr>
        <w:t>Hons</w:t>
      </w:r>
      <w:proofErr w:type="spellEnd"/>
      <w:r w:rsidRPr="00DC08DB">
        <w:rPr>
          <w:rFonts w:ascii="Times New Roman" w:hAnsi="Times New Roman" w:cs="Times New Roman"/>
          <w:sz w:val="20"/>
        </w:rPr>
        <w:t xml:space="preserve">) with research domain in Human Nutrition &amp; Dietetics in the year 2020 from the University of Agriculture, Faisalabad (UAF) under the supervision of Dr. </w:t>
      </w:r>
      <w:proofErr w:type="spellStart"/>
      <w:r w:rsidRPr="00DC08DB">
        <w:rPr>
          <w:rFonts w:ascii="Times New Roman" w:hAnsi="Times New Roman" w:cs="Times New Roman"/>
          <w:sz w:val="20"/>
        </w:rPr>
        <w:t>Aysha</w:t>
      </w:r>
      <w:proofErr w:type="spellEnd"/>
      <w:r w:rsidRPr="00DC08DB">
        <w:rPr>
          <w:rFonts w:ascii="Times New Roman" w:hAnsi="Times New Roman" w:cs="Times New Roman"/>
          <w:sz w:val="20"/>
        </w:rPr>
        <w:t xml:space="preserve"> </w:t>
      </w:r>
      <w:proofErr w:type="spellStart"/>
      <w:r w:rsidRPr="00DC08DB">
        <w:rPr>
          <w:rFonts w:ascii="Times New Roman" w:hAnsi="Times New Roman" w:cs="Times New Roman"/>
          <w:sz w:val="20"/>
        </w:rPr>
        <w:t>Sameen</w:t>
      </w:r>
      <w:proofErr w:type="spellEnd"/>
      <w:r w:rsidRPr="00DC08DB">
        <w:rPr>
          <w:rFonts w:ascii="Times New Roman" w:hAnsi="Times New Roman" w:cs="Times New Roman"/>
          <w:sz w:val="20"/>
        </w:rPr>
        <w:t>. Currently, he is serving as Head of the Human Nutrition &amp; Dietetics Department in AL-RAZI Institute Lahore. His research interests focus on the Development &amp; Quality Evaluation of Cheese Spread Enriched with Branched Chain Amino Acids in experimental subjects to assess associated health benefits. He also works on Community Nutrition with Aim of Provide Nutritional Awareness at National Level.</w:t>
      </w:r>
    </w:p>
    <w:sectPr w:rsidR="00DC08DB" w:rsidRPr="00DC08D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1-25T10:51:00Z" w:initials="SS">
    <w:p w:rsidR="00B631C8" w:rsidRDefault="00B631C8">
      <w:pPr>
        <w:pStyle w:val="CommentText"/>
      </w:pPr>
      <w:r>
        <w:rPr>
          <w:rStyle w:val="CommentReference"/>
        </w:rPr>
        <w:annotationRef/>
      </w:r>
      <w:r>
        <w:t>Rejected as content plagiarized from below links.</w:t>
      </w:r>
    </w:p>
    <w:p w:rsidR="00B631C8" w:rsidRDefault="00B631C8">
      <w:pPr>
        <w:pStyle w:val="CommentText"/>
      </w:pPr>
    </w:p>
    <w:p w:rsidR="00B631C8" w:rsidRDefault="00B631C8" w:rsidP="00B631C8">
      <w:pPr>
        <w:pStyle w:val="CommentText"/>
        <w:numPr>
          <w:ilvl w:val="0"/>
          <w:numId w:val="1"/>
        </w:numPr>
      </w:pPr>
      <w:r>
        <w:t xml:space="preserve">  </w:t>
      </w:r>
      <w:hyperlink r:id="rId1" w:history="1">
        <w:r w:rsidRPr="00C80DB9">
          <w:rPr>
            <w:rStyle w:val="Hyperlink"/>
          </w:rPr>
          <w:t>https://pubmed.ncbi.nlm.nih.gov/36401759/#:~:text=Introduction%3A%20Polycystic%20ovary%20syndrome%20(PCOS,the%20presence%20of%20polycystic%20ovaries</w:t>
        </w:r>
      </w:hyperlink>
      <w:r w:rsidRPr="00B631C8">
        <w:t>.</w:t>
      </w:r>
    </w:p>
    <w:p w:rsidR="00B631C8" w:rsidRDefault="00B631C8" w:rsidP="00B631C8">
      <w:pPr>
        <w:pStyle w:val="CommentText"/>
        <w:numPr>
          <w:ilvl w:val="0"/>
          <w:numId w:val="1"/>
        </w:numPr>
      </w:pPr>
      <w:hyperlink r:id="rId2" w:history="1">
        <w:r w:rsidRPr="00C80DB9">
          <w:rPr>
            <w:rStyle w:val="Hyperlink"/>
          </w:rPr>
          <w:t>https://pubmed.ncbi.nlm.nih.gov/32103756/</w:t>
        </w:r>
      </w:hyperlink>
    </w:p>
    <w:p w:rsidR="00B631C8" w:rsidRDefault="00B631C8" w:rsidP="00B631C8">
      <w:pPr>
        <w:pStyle w:val="CommentText"/>
        <w:numPr>
          <w:ilvl w:val="0"/>
          <w:numId w:val="1"/>
        </w:numPr>
      </w:pPr>
      <w:hyperlink r:id="rId3" w:history="1">
        <w:r w:rsidRPr="00C80DB9">
          <w:rPr>
            <w:rStyle w:val="Hyperlink"/>
          </w:rPr>
          <w:t>https://translational-medicine.biomedcentral.com/articles/10.1186/s12967-020-02277-0</w:t>
        </w:r>
      </w:hyperlink>
    </w:p>
    <w:p w:rsidR="00B631C8" w:rsidRDefault="00B631C8" w:rsidP="00B631C8">
      <w:pPr>
        <w:pStyle w:val="CommentText"/>
        <w:numPr>
          <w:ilvl w:val="0"/>
          <w:numId w:val="1"/>
        </w:numPr>
      </w:pPr>
      <w:hyperlink r:id="rId4" w:history="1">
        <w:r w:rsidRPr="00C80DB9">
          <w:rPr>
            <w:rStyle w:val="Hyperlink"/>
          </w:rPr>
          <w:t>https://www.mdpi.com/2072-6643/13/7/2452/htm</w:t>
        </w:r>
      </w:hyperlink>
    </w:p>
    <w:p w:rsidR="00B631C8" w:rsidRDefault="00B631C8" w:rsidP="00B631C8">
      <w:pPr>
        <w:pStyle w:val="CommentText"/>
        <w:numPr>
          <w:ilvl w:val="0"/>
          <w:numId w:val="1"/>
        </w:numPr>
      </w:pPr>
      <w:hyperlink r:id="rId5" w:history="1">
        <w:r w:rsidRPr="00C80DB9">
          <w:rPr>
            <w:rStyle w:val="Hyperlink"/>
          </w:rPr>
          <w:t>https://www.researchgate.net/publication/339539310_Effects_of_a_ketogenic_diet_in_overweight_women_with_polycystic_ovary_syndrome</w:t>
        </w:r>
      </w:hyperlink>
    </w:p>
    <w:p w:rsidR="00B631C8" w:rsidRDefault="00B631C8">
      <w:pPr>
        <w:pStyle w:val="CommentText"/>
      </w:pPr>
    </w:p>
    <w:p w:rsidR="00B631C8" w:rsidRDefault="00B631C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4372C"/>
    <w:multiLevelType w:val="hybridMultilevel"/>
    <w:tmpl w:val="6CD6B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8DB"/>
    <w:rsid w:val="00474203"/>
    <w:rsid w:val="00535872"/>
    <w:rsid w:val="00924B33"/>
    <w:rsid w:val="00B631C8"/>
    <w:rsid w:val="00DC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31C8"/>
    <w:rPr>
      <w:sz w:val="16"/>
      <w:szCs w:val="16"/>
    </w:rPr>
  </w:style>
  <w:style w:type="paragraph" w:styleId="CommentText">
    <w:name w:val="annotation text"/>
    <w:basedOn w:val="Normal"/>
    <w:link w:val="CommentTextChar"/>
    <w:uiPriority w:val="99"/>
    <w:semiHidden/>
    <w:unhideWhenUsed/>
    <w:rsid w:val="00B631C8"/>
    <w:pPr>
      <w:spacing w:line="240" w:lineRule="auto"/>
    </w:pPr>
    <w:rPr>
      <w:sz w:val="20"/>
      <w:szCs w:val="20"/>
    </w:rPr>
  </w:style>
  <w:style w:type="character" w:customStyle="1" w:styleId="CommentTextChar">
    <w:name w:val="Comment Text Char"/>
    <w:basedOn w:val="DefaultParagraphFont"/>
    <w:link w:val="CommentText"/>
    <w:uiPriority w:val="99"/>
    <w:semiHidden/>
    <w:rsid w:val="00B631C8"/>
    <w:rPr>
      <w:sz w:val="20"/>
      <w:szCs w:val="20"/>
    </w:rPr>
  </w:style>
  <w:style w:type="paragraph" w:styleId="CommentSubject">
    <w:name w:val="annotation subject"/>
    <w:basedOn w:val="CommentText"/>
    <w:next w:val="CommentText"/>
    <w:link w:val="CommentSubjectChar"/>
    <w:uiPriority w:val="99"/>
    <w:semiHidden/>
    <w:unhideWhenUsed/>
    <w:rsid w:val="00B631C8"/>
    <w:rPr>
      <w:b/>
      <w:bCs/>
    </w:rPr>
  </w:style>
  <w:style w:type="character" w:customStyle="1" w:styleId="CommentSubjectChar">
    <w:name w:val="Comment Subject Char"/>
    <w:basedOn w:val="CommentTextChar"/>
    <w:link w:val="CommentSubject"/>
    <w:uiPriority w:val="99"/>
    <w:semiHidden/>
    <w:rsid w:val="00B631C8"/>
    <w:rPr>
      <w:b/>
      <w:bCs/>
      <w:sz w:val="20"/>
      <w:szCs w:val="20"/>
    </w:rPr>
  </w:style>
  <w:style w:type="paragraph" w:styleId="BalloonText">
    <w:name w:val="Balloon Text"/>
    <w:basedOn w:val="Normal"/>
    <w:link w:val="BalloonTextChar"/>
    <w:uiPriority w:val="99"/>
    <w:semiHidden/>
    <w:unhideWhenUsed/>
    <w:rsid w:val="00B6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C8"/>
    <w:rPr>
      <w:rFonts w:ascii="Tahoma" w:hAnsi="Tahoma" w:cs="Tahoma"/>
      <w:sz w:val="16"/>
      <w:szCs w:val="16"/>
    </w:rPr>
  </w:style>
  <w:style w:type="character" w:styleId="Hyperlink">
    <w:name w:val="Hyperlink"/>
    <w:basedOn w:val="DefaultParagraphFont"/>
    <w:uiPriority w:val="99"/>
    <w:unhideWhenUsed/>
    <w:rsid w:val="00B631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31C8"/>
    <w:rPr>
      <w:sz w:val="16"/>
      <w:szCs w:val="16"/>
    </w:rPr>
  </w:style>
  <w:style w:type="paragraph" w:styleId="CommentText">
    <w:name w:val="annotation text"/>
    <w:basedOn w:val="Normal"/>
    <w:link w:val="CommentTextChar"/>
    <w:uiPriority w:val="99"/>
    <w:semiHidden/>
    <w:unhideWhenUsed/>
    <w:rsid w:val="00B631C8"/>
    <w:pPr>
      <w:spacing w:line="240" w:lineRule="auto"/>
    </w:pPr>
    <w:rPr>
      <w:sz w:val="20"/>
      <w:szCs w:val="20"/>
    </w:rPr>
  </w:style>
  <w:style w:type="character" w:customStyle="1" w:styleId="CommentTextChar">
    <w:name w:val="Comment Text Char"/>
    <w:basedOn w:val="DefaultParagraphFont"/>
    <w:link w:val="CommentText"/>
    <w:uiPriority w:val="99"/>
    <w:semiHidden/>
    <w:rsid w:val="00B631C8"/>
    <w:rPr>
      <w:sz w:val="20"/>
      <w:szCs w:val="20"/>
    </w:rPr>
  </w:style>
  <w:style w:type="paragraph" w:styleId="CommentSubject">
    <w:name w:val="annotation subject"/>
    <w:basedOn w:val="CommentText"/>
    <w:next w:val="CommentText"/>
    <w:link w:val="CommentSubjectChar"/>
    <w:uiPriority w:val="99"/>
    <w:semiHidden/>
    <w:unhideWhenUsed/>
    <w:rsid w:val="00B631C8"/>
    <w:rPr>
      <w:b/>
      <w:bCs/>
    </w:rPr>
  </w:style>
  <w:style w:type="character" w:customStyle="1" w:styleId="CommentSubjectChar">
    <w:name w:val="Comment Subject Char"/>
    <w:basedOn w:val="CommentTextChar"/>
    <w:link w:val="CommentSubject"/>
    <w:uiPriority w:val="99"/>
    <w:semiHidden/>
    <w:rsid w:val="00B631C8"/>
    <w:rPr>
      <w:b/>
      <w:bCs/>
      <w:sz w:val="20"/>
      <w:szCs w:val="20"/>
    </w:rPr>
  </w:style>
  <w:style w:type="paragraph" w:styleId="BalloonText">
    <w:name w:val="Balloon Text"/>
    <w:basedOn w:val="Normal"/>
    <w:link w:val="BalloonTextChar"/>
    <w:uiPriority w:val="99"/>
    <w:semiHidden/>
    <w:unhideWhenUsed/>
    <w:rsid w:val="00B63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1C8"/>
    <w:rPr>
      <w:rFonts w:ascii="Tahoma" w:hAnsi="Tahoma" w:cs="Tahoma"/>
      <w:sz w:val="16"/>
      <w:szCs w:val="16"/>
    </w:rPr>
  </w:style>
  <w:style w:type="character" w:styleId="Hyperlink">
    <w:name w:val="Hyperlink"/>
    <w:basedOn w:val="DefaultParagraphFont"/>
    <w:uiPriority w:val="99"/>
    <w:unhideWhenUsed/>
    <w:rsid w:val="00B631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translational-medicine.biomedcentral.com/articles/10.1186/s12967-020-02277-0" TargetMode="External"/><Relationship Id="rId2" Type="http://schemas.openxmlformats.org/officeDocument/2006/relationships/hyperlink" Target="https://pubmed.ncbi.nlm.nih.gov/32103756/" TargetMode="External"/><Relationship Id="rId1" Type="http://schemas.openxmlformats.org/officeDocument/2006/relationships/hyperlink" Target="https://pubmed.ncbi.nlm.nih.gov/36401759/#:~:text=Introduction%3A%20Polycystic%20ovary%20syndrome%20(PCOS,the%20presence%20of%20polycystic%20ovaries" TargetMode="External"/><Relationship Id="rId5" Type="http://schemas.openxmlformats.org/officeDocument/2006/relationships/hyperlink" Target="https://www.researchgate.net/publication/339539310_Effects_of_a_ketogenic_diet_in_overweight_women_with_polycystic_ovary_syndrome" TargetMode="External"/><Relationship Id="rId4" Type="http://schemas.openxmlformats.org/officeDocument/2006/relationships/hyperlink" Target="https://www.mdpi.com/2072-6643/13/7/2452/htm"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2023-01-25T05:07:00Z</dcterms:created>
  <dcterms:modified xsi:type="dcterms:W3CDTF">2023-01-25T05:22:00Z</dcterms:modified>
</cp:coreProperties>
</file>