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84455">
      <w:pPr>
        <w:rPr>
          <w:rFonts w:ascii="Times New Roman" w:hAnsi="Times New Roman" w:cs="Times New Roman"/>
          <w:b/>
          <w:sz w:val="32"/>
        </w:rPr>
      </w:pPr>
      <w:r w:rsidRPr="00784455">
        <w:rPr>
          <w:rFonts w:ascii="Times New Roman" w:hAnsi="Times New Roman" w:cs="Times New Roman"/>
          <w:b/>
          <w:sz w:val="32"/>
        </w:rPr>
        <w:t xml:space="preserve">A systematic review on the application of automated </w:t>
      </w:r>
      <w:proofErr w:type="spellStart"/>
      <w:r w:rsidRPr="00784455">
        <w:rPr>
          <w:rFonts w:ascii="Times New Roman" w:hAnsi="Times New Roman" w:cs="Times New Roman"/>
          <w:b/>
          <w:sz w:val="32"/>
        </w:rPr>
        <w:t>pupillometry</w:t>
      </w:r>
      <w:proofErr w:type="spellEnd"/>
      <w:r w:rsidRPr="00784455">
        <w:rPr>
          <w:rFonts w:ascii="Times New Roman" w:hAnsi="Times New Roman" w:cs="Times New Roman"/>
          <w:b/>
          <w:sz w:val="32"/>
        </w:rPr>
        <w:t xml:space="preserve"> to improve outcomes in patients with Traumatic Brain Injury (TBI)</w:t>
      </w:r>
    </w:p>
    <w:p w:rsidR="00784455" w:rsidRDefault="00784455">
      <w:pPr>
        <w:rPr>
          <w:rFonts w:ascii="Times New Roman" w:hAnsi="Times New Roman" w:cs="Times New Roman"/>
          <w:sz w:val="24"/>
        </w:rPr>
      </w:pPr>
      <w:r w:rsidRPr="00784455">
        <w:rPr>
          <w:rFonts w:ascii="Times New Roman" w:hAnsi="Times New Roman" w:cs="Times New Roman"/>
          <w:sz w:val="24"/>
        </w:rPr>
        <w:t>Carmen Chung</w:t>
      </w:r>
      <w:r>
        <w:rPr>
          <w:rFonts w:ascii="Times New Roman" w:hAnsi="Times New Roman" w:cs="Times New Roman"/>
          <w:sz w:val="24"/>
        </w:rPr>
        <w:t xml:space="preserve">* and </w:t>
      </w:r>
      <w:r w:rsidRPr="00784455">
        <w:rPr>
          <w:rFonts w:ascii="Times New Roman" w:hAnsi="Times New Roman" w:cs="Times New Roman"/>
          <w:sz w:val="24"/>
        </w:rPr>
        <w:t xml:space="preserve">Damon </w:t>
      </w:r>
      <w:proofErr w:type="spellStart"/>
      <w:r w:rsidRPr="00784455">
        <w:rPr>
          <w:rFonts w:ascii="Times New Roman" w:hAnsi="Times New Roman" w:cs="Times New Roman"/>
          <w:sz w:val="24"/>
        </w:rPr>
        <w:t>Hoad</w:t>
      </w:r>
      <w:proofErr w:type="spellEnd"/>
    </w:p>
    <w:p w:rsidR="00784455" w:rsidRPr="00784455" w:rsidRDefault="00784455">
      <w:pPr>
        <w:rPr>
          <w:rFonts w:ascii="Times New Roman" w:hAnsi="Times New Roman" w:cs="Times New Roman"/>
        </w:rPr>
      </w:pPr>
      <w:r w:rsidRPr="00784455">
        <w:rPr>
          <w:rFonts w:ascii="Times New Roman" w:hAnsi="Times New Roman" w:cs="Times New Roman"/>
        </w:rPr>
        <w:t>Warwick Medical School, UK</w:t>
      </w:r>
    </w:p>
    <w:p w:rsidR="00784455" w:rsidRPr="00784455" w:rsidRDefault="00784455" w:rsidP="00784455">
      <w:pPr>
        <w:jc w:val="center"/>
        <w:rPr>
          <w:rFonts w:ascii="Times New Roman" w:hAnsi="Times New Roman" w:cs="Times New Roman"/>
          <w:b/>
          <w:sz w:val="24"/>
        </w:rPr>
      </w:pPr>
      <w:r w:rsidRPr="00784455">
        <w:rPr>
          <w:rFonts w:ascii="Times New Roman" w:hAnsi="Times New Roman" w:cs="Times New Roman"/>
          <w:b/>
          <w:sz w:val="24"/>
        </w:rPr>
        <w:t>Abstract</w:t>
      </w:r>
    </w:p>
    <w:p w:rsidR="00784455" w:rsidRPr="00784455" w:rsidRDefault="00784455" w:rsidP="00784455">
      <w:pPr>
        <w:jc w:val="both"/>
        <w:rPr>
          <w:rFonts w:ascii="Times New Roman" w:hAnsi="Times New Roman" w:cs="Times New Roman"/>
          <w:sz w:val="20"/>
        </w:rPr>
      </w:pPr>
      <w:r w:rsidRPr="00784455">
        <w:rPr>
          <w:rFonts w:ascii="Times New Roman" w:hAnsi="Times New Roman" w:cs="Times New Roman"/>
          <w:b/>
          <w:sz w:val="20"/>
        </w:rPr>
        <w:t>Background:</w:t>
      </w:r>
      <w:r w:rsidRPr="00784455">
        <w:rPr>
          <w:rFonts w:ascii="Times New Roman" w:hAnsi="Times New Roman" w:cs="Times New Roman"/>
          <w:sz w:val="20"/>
        </w:rPr>
        <w:t xml:space="preserve"> The </w:t>
      </w:r>
      <w:r w:rsidRPr="00784455">
        <w:rPr>
          <w:rFonts w:ascii="Times New Roman" w:hAnsi="Times New Roman" w:cs="Times New Roman"/>
          <w:sz w:val="20"/>
        </w:rPr>
        <w:t xml:space="preserve">Pupillary Light Reflex </w:t>
      </w:r>
      <w:r w:rsidRPr="00784455">
        <w:rPr>
          <w:rFonts w:ascii="Times New Roman" w:hAnsi="Times New Roman" w:cs="Times New Roman"/>
          <w:sz w:val="20"/>
        </w:rPr>
        <w:t xml:space="preserve">(PLR) is sensitive to changes in intracranial pressure and an essential part of neurological </w:t>
      </w:r>
      <w:bookmarkStart w:id="0" w:name="_GoBack"/>
      <w:bookmarkEnd w:id="0"/>
      <w:r w:rsidRPr="00784455">
        <w:rPr>
          <w:rFonts w:ascii="Times New Roman" w:hAnsi="Times New Roman" w:cs="Times New Roman"/>
          <w:sz w:val="20"/>
        </w:rPr>
        <w:t xml:space="preserve">examination in Traumatic Brain Injury (TBI) patients.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provides an objective, reliable, non-invasive</w:t>
      </w:r>
      <w:r>
        <w:rPr>
          <w:rFonts w:ascii="Times New Roman" w:hAnsi="Times New Roman" w:cs="Times New Roman"/>
          <w:sz w:val="20"/>
        </w:rPr>
        <w:t xml:space="preserve"> and</w:t>
      </w:r>
      <w:r w:rsidRPr="00784455">
        <w:rPr>
          <w:rFonts w:ascii="Times New Roman" w:hAnsi="Times New Roman" w:cs="Times New Roman"/>
          <w:sz w:val="20"/>
        </w:rPr>
        <w:t xml:space="preserve"> quantifiable method of measuring PLR. This systematic review evaluates evidence for the application and utility of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to improve outcomes in patients with TBI.</w:t>
      </w:r>
    </w:p>
    <w:p w:rsidR="00784455" w:rsidRPr="00784455" w:rsidRDefault="00784455" w:rsidP="00784455">
      <w:pPr>
        <w:jc w:val="both"/>
        <w:rPr>
          <w:rFonts w:ascii="Times New Roman" w:hAnsi="Times New Roman" w:cs="Times New Roman"/>
          <w:sz w:val="20"/>
        </w:rPr>
      </w:pPr>
      <w:r w:rsidRPr="00784455">
        <w:rPr>
          <w:rFonts w:ascii="Times New Roman" w:hAnsi="Times New Roman" w:cs="Times New Roman"/>
          <w:b/>
          <w:sz w:val="20"/>
        </w:rPr>
        <w:t>Methods:</w:t>
      </w:r>
      <w:r w:rsidRPr="00784455">
        <w:rPr>
          <w:rFonts w:ascii="Times New Roman" w:hAnsi="Times New Roman" w:cs="Times New Roman"/>
          <w:sz w:val="20"/>
        </w:rPr>
        <w:t xml:space="preserve"> MEDLINE, </w:t>
      </w:r>
      <w:proofErr w:type="spellStart"/>
      <w:r w:rsidRPr="00784455">
        <w:rPr>
          <w:rFonts w:ascii="Times New Roman" w:hAnsi="Times New Roman" w:cs="Times New Roman"/>
          <w:sz w:val="20"/>
        </w:rPr>
        <w:t>Embase</w:t>
      </w:r>
      <w:proofErr w:type="spellEnd"/>
      <w:r w:rsidRPr="00784455">
        <w:rPr>
          <w:rFonts w:ascii="Times New Roman" w:hAnsi="Times New Roman" w:cs="Times New Roman"/>
          <w:sz w:val="20"/>
        </w:rPr>
        <w:t>, Web of Science</w:t>
      </w:r>
      <w:r>
        <w:rPr>
          <w:rFonts w:ascii="Times New Roman" w:hAnsi="Times New Roman" w:cs="Times New Roman"/>
          <w:sz w:val="20"/>
        </w:rPr>
        <w:t xml:space="preserve"> and</w:t>
      </w:r>
      <w:r w:rsidRPr="00784455">
        <w:rPr>
          <w:rFonts w:ascii="Times New Roman" w:hAnsi="Times New Roman" w:cs="Times New Roman"/>
          <w:sz w:val="20"/>
        </w:rPr>
        <w:t xml:space="preserve"> Scopus databases were systematically searched for clinical studies evaluating the use of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in Traumatic Brain Injury patients up to October 9, 2022. </w:t>
      </w:r>
    </w:p>
    <w:p w:rsidR="00784455" w:rsidRDefault="00784455" w:rsidP="00784455">
      <w:pPr>
        <w:jc w:val="both"/>
        <w:rPr>
          <w:rFonts w:ascii="Times New Roman" w:hAnsi="Times New Roman" w:cs="Times New Roman"/>
          <w:sz w:val="20"/>
        </w:rPr>
      </w:pPr>
      <w:r w:rsidRPr="00784455">
        <w:rPr>
          <w:rFonts w:ascii="Times New Roman" w:hAnsi="Times New Roman" w:cs="Times New Roman"/>
          <w:b/>
          <w:sz w:val="20"/>
        </w:rPr>
        <w:t>Results:</w:t>
      </w:r>
      <w:r w:rsidRPr="00784455">
        <w:rPr>
          <w:rFonts w:ascii="Times New Roman" w:hAnsi="Times New Roman" w:cs="Times New Roman"/>
          <w:sz w:val="20"/>
        </w:rPr>
        <w:t xml:space="preserve"> 12 observational studies met the inclusion and exclusion criteria. All studies reported on the usefulness of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in identifying abnormal pupillary reflexes in the acute hospital stage. 5 studies reported inverse relationship between the Neurological Pupil Index (</w:t>
      </w:r>
      <w:proofErr w:type="spellStart"/>
      <w:r w:rsidRPr="00784455">
        <w:rPr>
          <w:rFonts w:ascii="Times New Roman" w:hAnsi="Times New Roman" w:cs="Times New Roman"/>
          <w:sz w:val="20"/>
        </w:rPr>
        <w:t>NPi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) and clinical outcomes in TBI patients. 4 studies reported correlation between </w:t>
      </w:r>
      <w:proofErr w:type="spellStart"/>
      <w:r w:rsidRPr="00784455">
        <w:rPr>
          <w:rFonts w:ascii="Times New Roman" w:hAnsi="Times New Roman" w:cs="Times New Roman"/>
          <w:sz w:val="20"/>
        </w:rPr>
        <w:t>NPi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measured with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and </w:t>
      </w:r>
      <w:r w:rsidRPr="00784455">
        <w:rPr>
          <w:rFonts w:ascii="Times New Roman" w:hAnsi="Times New Roman" w:cs="Times New Roman"/>
          <w:sz w:val="20"/>
        </w:rPr>
        <w:t>Intra</w:t>
      </w:r>
      <w:r>
        <w:rPr>
          <w:rFonts w:ascii="Times New Roman" w:hAnsi="Times New Roman" w:cs="Times New Roman"/>
          <w:sz w:val="20"/>
        </w:rPr>
        <w:t xml:space="preserve"> </w:t>
      </w:r>
      <w:r w:rsidRPr="00784455">
        <w:rPr>
          <w:rFonts w:ascii="Times New Roman" w:hAnsi="Times New Roman" w:cs="Times New Roman"/>
          <w:sz w:val="20"/>
        </w:rPr>
        <w:t xml:space="preserve">Cranial Pressure </w:t>
      </w:r>
      <w:r w:rsidRPr="00784455">
        <w:rPr>
          <w:rFonts w:ascii="Times New Roman" w:hAnsi="Times New Roman" w:cs="Times New Roman"/>
          <w:sz w:val="20"/>
        </w:rPr>
        <w:t xml:space="preserve">(ICP). 3 studies reported that </w:t>
      </w:r>
      <w:proofErr w:type="spellStart"/>
      <w:r w:rsidRPr="00784455">
        <w:rPr>
          <w:rFonts w:ascii="Times New Roman" w:hAnsi="Times New Roman" w:cs="Times New Roman"/>
          <w:sz w:val="20"/>
        </w:rPr>
        <w:t>NPi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score is predictive of surgical interventions in TBI patients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784455">
        <w:rPr>
          <w:rFonts w:ascii="Times New Roman" w:hAnsi="Times New Roman" w:cs="Times New Roman"/>
          <w:sz w:val="20"/>
        </w:rPr>
        <w:t>.</w:t>
      </w:r>
    </w:p>
    <w:p w:rsidR="00784455" w:rsidRDefault="00784455" w:rsidP="00784455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267C35A" wp14:editId="61BE14F5">
            <wp:extent cx="2018030" cy="24384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4455" w:rsidRPr="00784455" w:rsidRDefault="00784455" w:rsidP="00784455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784455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784455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784455">
        <w:rPr>
          <w:rFonts w:ascii="Times New Roman" w:hAnsi="Times New Roman" w:cs="Times New Roman"/>
          <w:i/>
          <w:sz w:val="18"/>
        </w:rPr>
        <w:t>PRISMA flow diagram.</w:t>
      </w:r>
      <w:proofErr w:type="gramEnd"/>
    </w:p>
    <w:p w:rsidR="00784455" w:rsidRPr="00784455" w:rsidRDefault="00784455" w:rsidP="00784455">
      <w:pPr>
        <w:jc w:val="both"/>
        <w:rPr>
          <w:rFonts w:ascii="Times New Roman" w:hAnsi="Times New Roman" w:cs="Times New Roman"/>
          <w:sz w:val="20"/>
        </w:rPr>
      </w:pPr>
      <w:r w:rsidRPr="00784455">
        <w:rPr>
          <w:rFonts w:ascii="Times New Roman" w:hAnsi="Times New Roman" w:cs="Times New Roman"/>
          <w:b/>
          <w:sz w:val="20"/>
        </w:rPr>
        <w:t>Discussion:</w:t>
      </w:r>
      <w:r w:rsidRPr="00784455">
        <w:rPr>
          <w:rFonts w:ascii="Times New Roman" w:hAnsi="Times New Roman" w:cs="Times New Roman"/>
          <w:sz w:val="20"/>
        </w:rPr>
        <w:t xml:space="preserve"> This systematic review demonstrates that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is effective in measuring abnormalities of the PLR in TBI patients. A number of studies report specific PLR parameters and the </w:t>
      </w:r>
      <w:proofErr w:type="spellStart"/>
      <w:r w:rsidRPr="00784455">
        <w:rPr>
          <w:rFonts w:ascii="Times New Roman" w:hAnsi="Times New Roman" w:cs="Times New Roman"/>
          <w:sz w:val="20"/>
        </w:rPr>
        <w:t>NPi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score having diagnostic and prognostic utility in patients with TBI. However, no evidence was identified for application of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in monitoring recovery of cognition in sub-acute or chronic stages. </w:t>
      </w:r>
    </w:p>
    <w:p w:rsidR="00784455" w:rsidRDefault="00784455" w:rsidP="00784455">
      <w:pPr>
        <w:jc w:val="both"/>
        <w:rPr>
          <w:rFonts w:ascii="Times New Roman" w:hAnsi="Times New Roman" w:cs="Times New Roman"/>
          <w:sz w:val="20"/>
        </w:rPr>
      </w:pPr>
      <w:r w:rsidRPr="00784455">
        <w:rPr>
          <w:rFonts w:ascii="Times New Roman" w:hAnsi="Times New Roman" w:cs="Times New Roman"/>
          <w:b/>
          <w:sz w:val="20"/>
        </w:rPr>
        <w:t>Conclusion:</w:t>
      </w:r>
      <w:r w:rsidRPr="00784455">
        <w:rPr>
          <w:rFonts w:ascii="Times New Roman" w:hAnsi="Times New Roman" w:cs="Times New Roman"/>
          <w:sz w:val="20"/>
        </w:rPr>
        <w:t xml:space="preserve">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provides an objective, non-invasive and rapid means to assess pupillary function. Clinical evaluations of the technology demonstrated diagnostic, prognostic</w:t>
      </w:r>
      <w:r>
        <w:rPr>
          <w:rFonts w:ascii="Times New Roman" w:hAnsi="Times New Roman" w:cs="Times New Roman"/>
          <w:sz w:val="20"/>
        </w:rPr>
        <w:t xml:space="preserve"> and</w:t>
      </w:r>
      <w:r w:rsidRPr="00784455">
        <w:rPr>
          <w:rFonts w:ascii="Times New Roman" w:hAnsi="Times New Roman" w:cs="Times New Roman"/>
          <w:sz w:val="20"/>
        </w:rPr>
        <w:t xml:space="preserve"> therapeutic potential in the management of TBI patients in acute hospital settings. Further evidence will support wider clinical uptake and there </w:t>
      </w:r>
      <w:r w:rsidRPr="00784455">
        <w:rPr>
          <w:rFonts w:ascii="Times New Roman" w:hAnsi="Times New Roman" w:cs="Times New Roman"/>
          <w:sz w:val="20"/>
        </w:rPr>
        <w:lastRenderedPageBreak/>
        <w:t xml:space="preserve">is potential for future research to evaluate application of automated </w:t>
      </w:r>
      <w:proofErr w:type="spellStart"/>
      <w:r w:rsidRPr="00784455">
        <w:rPr>
          <w:rFonts w:ascii="Times New Roman" w:hAnsi="Times New Roman" w:cs="Times New Roman"/>
          <w:sz w:val="20"/>
        </w:rPr>
        <w:t>pupillometry</w:t>
      </w:r>
      <w:proofErr w:type="spellEnd"/>
      <w:r w:rsidRPr="00784455">
        <w:rPr>
          <w:rFonts w:ascii="Times New Roman" w:hAnsi="Times New Roman" w:cs="Times New Roman"/>
          <w:sz w:val="20"/>
        </w:rPr>
        <w:t xml:space="preserve"> in post-acute cognitive rehabilitation settings.</w:t>
      </w:r>
    </w:p>
    <w:p w:rsidR="00784455" w:rsidRPr="00784455" w:rsidRDefault="00784455" w:rsidP="00784455">
      <w:pPr>
        <w:rPr>
          <w:rFonts w:ascii="Times New Roman" w:hAnsi="Times New Roman" w:cs="Times New Roman"/>
          <w:b/>
          <w:sz w:val="24"/>
        </w:rPr>
      </w:pPr>
      <w:r w:rsidRPr="00784455">
        <w:rPr>
          <w:rFonts w:ascii="Times New Roman" w:hAnsi="Times New Roman" w:cs="Times New Roman"/>
          <w:b/>
          <w:sz w:val="24"/>
        </w:rPr>
        <w:t>Biography</w:t>
      </w:r>
    </w:p>
    <w:p w:rsidR="00784455" w:rsidRPr="00784455" w:rsidRDefault="00784455" w:rsidP="00784455">
      <w:pPr>
        <w:jc w:val="both"/>
        <w:rPr>
          <w:rFonts w:ascii="Times New Roman" w:hAnsi="Times New Roman" w:cs="Times New Roman"/>
          <w:sz w:val="20"/>
        </w:rPr>
      </w:pPr>
      <w:r w:rsidRPr="00784455">
        <w:rPr>
          <w:rFonts w:ascii="Times New Roman" w:hAnsi="Times New Roman" w:cs="Times New Roman"/>
          <w:sz w:val="20"/>
        </w:rPr>
        <w:t xml:space="preserve">Carmen Chung is currently a graduate entry medical student at Warwick Medical School. Prior to studying Medicine, she was a Healthcare and Life Sciences Consultant. </w:t>
      </w:r>
      <w:r>
        <w:rPr>
          <w:rFonts w:ascii="Times New Roman" w:hAnsi="Times New Roman" w:cs="Times New Roman"/>
          <w:sz w:val="20"/>
        </w:rPr>
        <w:t>She</w:t>
      </w:r>
      <w:r w:rsidRPr="00784455">
        <w:rPr>
          <w:rFonts w:ascii="Times New Roman" w:hAnsi="Times New Roman" w:cs="Times New Roman"/>
          <w:sz w:val="20"/>
        </w:rPr>
        <w:t xml:space="preserve"> is passionate about developing digital solutions to address unmet clinical needs and to improve patient experience. She seeks to bridge the gap between Medicine and digital health.</w:t>
      </w:r>
    </w:p>
    <w:sectPr w:rsidR="00784455" w:rsidRPr="00784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455"/>
    <w:rsid w:val="0032354D"/>
    <w:rsid w:val="00474203"/>
    <w:rsid w:val="00535872"/>
    <w:rsid w:val="00784455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2023-02-15T08:59:00Z</dcterms:created>
  <dcterms:modified xsi:type="dcterms:W3CDTF">2023-02-15T09:19:00Z</dcterms:modified>
</cp:coreProperties>
</file>