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10A0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C10A04">
        <w:rPr>
          <w:rFonts w:ascii="Times New Roman" w:hAnsi="Times New Roman" w:cs="Times New Roman"/>
          <w:b/>
          <w:sz w:val="32"/>
        </w:rPr>
        <w:t>External validation of a risk prediction tool in determining early death among elderly patients initiated on dialysis</w:t>
      </w:r>
    </w:p>
    <w:p w:rsidR="00C10A04" w:rsidRDefault="00C10A04">
      <w:pPr>
        <w:rPr>
          <w:rFonts w:ascii="Times New Roman" w:hAnsi="Times New Roman" w:cs="Times New Roman"/>
          <w:sz w:val="24"/>
        </w:rPr>
      </w:pPr>
      <w:r w:rsidRPr="00C10A04">
        <w:rPr>
          <w:rFonts w:ascii="Times New Roman" w:hAnsi="Times New Roman" w:cs="Times New Roman"/>
          <w:sz w:val="24"/>
        </w:rPr>
        <w:t xml:space="preserve">Rachelle </w:t>
      </w:r>
      <w:proofErr w:type="spellStart"/>
      <w:r w:rsidRPr="00C10A04">
        <w:rPr>
          <w:rFonts w:ascii="Times New Roman" w:hAnsi="Times New Roman" w:cs="Times New Roman"/>
          <w:sz w:val="24"/>
        </w:rPr>
        <w:t>Zolla</w:t>
      </w:r>
      <w:proofErr w:type="spellEnd"/>
      <w:r w:rsidRPr="00C10A04">
        <w:rPr>
          <w:rFonts w:ascii="Times New Roman" w:hAnsi="Times New Roman" w:cs="Times New Roman"/>
          <w:sz w:val="24"/>
        </w:rPr>
        <w:t xml:space="preserve"> S. </w:t>
      </w:r>
      <w:proofErr w:type="spellStart"/>
      <w:r w:rsidRPr="00C10A04">
        <w:rPr>
          <w:rFonts w:ascii="Times New Roman" w:hAnsi="Times New Roman" w:cs="Times New Roman"/>
          <w:sz w:val="24"/>
        </w:rPr>
        <w:t>Ciudadano-Manalaysay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r w:rsidRPr="00C10A04">
        <w:rPr>
          <w:rFonts w:ascii="Times New Roman" w:hAnsi="Times New Roman" w:cs="Times New Roman"/>
          <w:sz w:val="24"/>
        </w:rPr>
        <w:t xml:space="preserve">Trisha Michelle V. </w:t>
      </w:r>
      <w:proofErr w:type="spellStart"/>
      <w:r w:rsidRPr="00C10A04">
        <w:rPr>
          <w:rFonts w:ascii="Times New Roman" w:hAnsi="Times New Roman" w:cs="Times New Roman"/>
          <w:sz w:val="24"/>
        </w:rPr>
        <w:t>Manalaysay</w:t>
      </w:r>
      <w:proofErr w:type="spellEnd"/>
    </w:p>
    <w:p w:rsidR="00C10A04" w:rsidRPr="00C10A04" w:rsidRDefault="00C10A04">
      <w:pPr>
        <w:rPr>
          <w:rFonts w:ascii="Times New Roman" w:hAnsi="Times New Roman" w:cs="Times New Roman"/>
        </w:rPr>
      </w:pPr>
      <w:r w:rsidRPr="00C10A04">
        <w:rPr>
          <w:rFonts w:ascii="Times New Roman" w:hAnsi="Times New Roman" w:cs="Times New Roman"/>
        </w:rPr>
        <w:t>Southern Philippines Medical Center, Philippines</w:t>
      </w:r>
    </w:p>
    <w:p w:rsidR="00C10A04" w:rsidRPr="00C10A04" w:rsidRDefault="00C10A04" w:rsidP="00C10A04">
      <w:pPr>
        <w:jc w:val="center"/>
        <w:rPr>
          <w:rFonts w:ascii="Times New Roman" w:hAnsi="Times New Roman" w:cs="Times New Roman"/>
          <w:b/>
          <w:sz w:val="24"/>
        </w:rPr>
      </w:pPr>
      <w:r w:rsidRPr="00C10A04">
        <w:rPr>
          <w:rFonts w:ascii="Times New Roman" w:hAnsi="Times New Roman" w:cs="Times New Roman"/>
          <w:b/>
          <w:sz w:val="24"/>
        </w:rPr>
        <w:t>Abstract</w:t>
      </w:r>
    </w:p>
    <w:p w:rsidR="00C10A04" w:rsidRPr="00C10A04" w:rsidRDefault="00C10A04" w:rsidP="00C10A04">
      <w:pPr>
        <w:jc w:val="both"/>
        <w:rPr>
          <w:rFonts w:ascii="Times New Roman" w:hAnsi="Times New Roman" w:cs="Times New Roman"/>
          <w:sz w:val="20"/>
        </w:rPr>
      </w:pPr>
      <w:r w:rsidRPr="00C10A04">
        <w:rPr>
          <w:rFonts w:ascii="Times New Roman" w:hAnsi="Times New Roman" w:cs="Times New Roman"/>
          <w:b/>
          <w:sz w:val="20"/>
        </w:rPr>
        <w:t>Aim:</w:t>
      </w:r>
      <w:r w:rsidRPr="00C10A04">
        <w:rPr>
          <w:rFonts w:ascii="Times New Roman" w:hAnsi="Times New Roman" w:cs="Times New Roman"/>
          <w:sz w:val="20"/>
        </w:rPr>
        <w:t xml:space="preserve"> This study aimed to validate if the </w:t>
      </w:r>
      <w:proofErr w:type="spellStart"/>
      <w:r w:rsidRPr="00C10A04">
        <w:rPr>
          <w:rFonts w:ascii="Times New Roman" w:hAnsi="Times New Roman" w:cs="Times New Roman"/>
          <w:sz w:val="20"/>
        </w:rPr>
        <w:t>Thamer</w:t>
      </w:r>
      <w:proofErr w:type="spellEnd"/>
      <w:r w:rsidRPr="00C10A04">
        <w:rPr>
          <w:rFonts w:ascii="Times New Roman" w:hAnsi="Times New Roman" w:cs="Times New Roman"/>
          <w:sz w:val="20"/>
        </w:rPr>
        <w:t xml:space="preserve"> Risk Scoring Tool is a significant predictor in determining risk of early mortality among elderly patients initiated on dialysis in a tertiary hospital in Davao City, Philippines.</w:t>
      </w:r>
    </w:p>
    <w:p w:rsidR="00C10A04" w:rsidRPr="00C10A04" w:rsidRDefault="00C10A04" w:rsidP="00C10A04">
      <w:pPr>
        <w:jc w:val="both"/>
        <w:rPr>
          <w:rFonts w:ascii="Times New Roman" w:hAnsi="Times New Roman" w:cs="Times New Roman"/>
          <w:sz w:val="20"/>
        </w:rPr>
      </w:pPr>
      <w:r w:rsidRPr="00C10A04">
        <w:rPr>
          <w:rFonts w:ascii="Times New Roman" w:hAnsi="Times New Roman" w:cs="Times New Roman"/>
          <w:b/>
          <w:sz w:val="20"/>
        </w:rPr>
        <w:t>Background:</w:t>
      </w:r>
      <w:r w:rsidRPr="00C10A04">
        <w:rPr>
          <w:rFonts w:ascii="Times New Roman" w:hAnsi="Times New Roman" w:cs="Times New Roman"/>
          <w:sz w:val="20"/>
        </w:rPr>
        <w:t xml:space="preserve"> The increase in the senior population is one of the factors that </w:t>
      </w:r>
      <w:r w:rsidRPr="00C10A04">
        <w:rPr>
          <w:rFonts w:ascii="Times New Roman" w:hAnsi="Times New Roman" w:cs="Times New Roman"/>
          <w:sz w:val="20"/>
        </w:rPr>
        <w:t>have</w:t>
      </w:r>
      <w:r w:rsidRPr="00C10A04">
        <w:rPr>
          <w:rFonts w:ascii="Times New Roman" w:hAnsi="Times New Roman" w:cs="Times New Roman"/>
          <w:sz w:val="20"/>
        </w:rPr>
        <w:t xml:space="preserve"> contributed to the rise in the number of dialysis patients in the Philippines. The elderly generally has an increased risk for poor dialysis-associated outcomes</w:t>
      </w:r>
      <w:r>
        <w:rPr>
          <w:rFonts w:ascii="Times New Roman" w:hAnsi="Times New Roman" w:cs="Times New Roman"/>
          <w:sz w:val="20"/>
        </w:rPr>
        <w:t xml:space="preserve"> and</w:t>
      </w:r>
      <w:r w:rsidRPr="00C10A04">
        <w:rPr>
          <w:rFonts w:ascii="Times New Roman" w:hAnsi="Times New Roman" w:cs="Times New Roman"/>
          <w:sz w:val="20"/>
        </w:rPr>
        <w:t xml:space="preserve"> studies have been conflicting if they have better survival with dialysis as compared to conservative management. The </w:t>
      </w:r>
      <w:proofErr w:type="spellStart"/>
      <w:r w:rsidRPr="00C10A04">
        <w:rPr>
          <w:rFonts w:ascii="Times New Roman" w:hAnsi="Times New Roman" w:cs="Times New Roman"/>
          <w:sz w:val="20"/>
        </w:rPr>
        <w:t>Thamer</w:t>
      </w:r>
      <w:proofErr w:type="spellEnd"/>
      <w:r w:rsidRPr="00C10A04">
        <w:rPr>
          <w:rFonts w:ascii="Times New Roman" w:hAnsi="Times New Roman" w:cs="Times New Roman"/>
          <w:sz w:val="20"/>
        </w:rPr>
        <w:t xml:space="preserve"> Risk Scoring tool uses simple variables to predict early mortality in these </w:t>
      </w:r>
      <w:r w:rsidRPr="00C10A04">
        <w:rPr>
          <w:rFonts w:ascii="Times New Roman" w:hAnsi="Times New Roman" w:cs="Times New Roman"/>
          <w:sz w:val="20"/>
        </w:rPr>
        <w:t>patients;</w:t>
      </w:r>
      <w:r w:rsidRPr="00C10A04">
        <w:rPr>
          <w:rFonts w:ascii="Times New Roman" w:hAnsi="Times New Roman" w:cs="Times New Roman"/>
          <w:sz w:val="20"/>
        </w:rPr>
        <w:t xml:space="preserve"> however this has not been validated in the Philippine setting. </w:t>
      </w:r>
    </w:p>
    <w:p w:rsidR="00C10A04" w:rsidRPr="00C10A04" w:rsidRDefault="00C10A04" w:rsidP="00C10A04">
      <w:pPr>
        <w:jc w:val="both"/>
        <w:rPr>
          <w:rFonts w:ascii="Times New Roman" w:hAnsi="Times New Roman" w:cs="Times New Roman"/>
          <w:sz w:val="20"/>
        </w:rPr>
      </w:pPr>
      <w:r w:rsidRPr="00C10A04">
        <w:rPr>
          <w:rFonts w:ascii="Times New Roman" w:hAnsi="Times New Roman" w:cs="Times New Roman"/>
          <w:b/>
          <w:sz w:val="20"/>
        </w:rPr>
        <w:t>Methods:</w:t>
      </w:r>
      <w:r w:rsidRPr="00C10A04">
        <w:rPr>
          <w:rFonts w:ascii="Times New Roman" w:hAnsi="Times New Roman" w:cs="Times New Roman"/>
          <w:sz w:val="20"/>
        </w:rPr>
        <w:t xml:space="preserve"> A retrospective cohort research design was used. Patients ≥ 60 years old, diagnosed with end-stage renal disease</w:t>
      </w:r>
      <w:r>
        <w:rPr>
          <w:rFonts w:ascii="Times New Roman" w:hAnsi="Times New Roman" w:cs="Times New Roman"/>
          <w:sz w:val="20"/>
        </w:rPr>
        <w:t xml:space="preserve"> and</w:t>
      </w:r>
      <w:r w:rsidRPr="00C10A04">
        <w:rPr>
          <w:rFonts w:ascii="Times New Roman" w:hAnsi="Times New Roman" w:cs="Times New Roman"/>
          <w:sz w:val="20"/>
        </w:rPr>
        <w:t xml:space="preserve"> initiated on dialysis from 2018 to 2021 were subjected to the tool to predict 3-month, 6-month</w:t>
      </w:r>
      <w:r>
        <w:rPr>
          <w:rFonts w:ascii="Times New Roman" w:hAnsi="Times New Roman" w:cs="Times New Roman"/>
          <w:sz w:val="20"/>
        </w:rPr>
        <w:t xml:space="preserve"> and</w:t>
      </w:r>
      <w:r w:rsidRPr="00C10A04">
        <w:rPr>
          <w:rFonts w:ascii="Times New Roman" w:hAnsi="Times New Roman" w:cs="Times New Roman"/>
          <w:sz w:val="20"/>
        </w:rPr>
        <w:t xml:space="preserve"> over-all mortality after dialysis initiation</w:t>
      </w:r>
      <w:r>
        <w:rPr>
          <w:rFonts w:ascii="Times New Roman" w:hAnsi="Times New Roman" w:cs="Times New Roman"/>
          <w:sz w:val="20"/>
        </w:rPr>
        <w:t>,</w:t>
      </w:r>
      <w:r w:rsidRPr="00C10A04">
        <w:rPr>
          <w:rFonts w:ascii="Times New Roman" w:hAnsi="Times New Roman" w:cs="Times New Roman"/>
          <w:sz w:val="20"/>
        </w:rPr>
        <w:t xml:space="preserve"> Patients with &lt;90 days dialysis duration, recovery of kidney function</w:t>
      </w:r>
      <w:r>
        <w:rPr>
          <w:rFonts w:ascii="Times New Roman" w:hAnsi="Times New Roman" w:cs="Times New Roman"/>
          <w:sz w:val="20"/>
        </w:rPr>
        <w:t xml:space="preserve"> and</w:t>
      </w:r>
      <w:r w:rsidRPr="00C10A04">
        <w:rPr>
          <w:rFonts w:ascii="Times New Roman" w:hAnsi="Times New Roman" w:cs="Times New Roman"/>
          <w:sz w:val="20"/>
        </w:rPr>
        <w:t xml:space="preserve"> incomplete data to meet all the variables for the tool were excluded.</w:t>
      </w:r>
    </w:p>
    <w:p w:rsidR="00C10A04" w:rsidRDefault="00C10A04" w:rsidP="00C10A04">
      <w:pPr>
        <w:jc w:val="both"/>
        <w:rPr>
          <w:rFonts w:ascii="Times New Roman" w:hAnsi="Times New Roman" w:cs="Times New Roman"/>
          <w:sz w:val="20"/>
        </w:rPr>
      </w:pPr>
      <w:r w:rsidRPr="00C10A04">
        <w:rPr>
          <w:rFonts w:ascii="Times New Roman" w:hAnsi="Times New Roman" w:cs="Times New Roman"/>
          <w:b/>
          <w:sz w:val="20"/>
        </w:rPr>
        <w:t>Results:</w:t>
      </w:r>
      <w:r w:rsidRPr="00C10A04">
        <w:rPr>
          <w:rFonts w:ascii="Times New Roman" w:hAnsi="Times New Roman" w:cs="Times New Roman"/>
          <w:sz w:val="20"/>
        </w:rPr>
        <w:t xml:space="preserve"> In comparison to</w:t>
      </w:r>
      <w:r>
        <w:rPr>
          <w:rFonts w:ascii="Times New Roman" w:hAnsi="Times New Roman" w:cs="Times New Roman"/>
          <w:sz w:val="20"/>
        </w:rPr>
        <w:t xml:space="preserve"> the </w:t>
      </w:r>
      <w:proofErr w:type="spellStart"/>
      <w:r>
        <w:rPr>
          <w:rFonts w:ascii="Times New Roman" w:hAnsi="Times New Roman" w:cs="Times New Roman"/>
          <w:sz w:val="20"/>
        </w:rPr>
        <w:t>Thamer</w:t>
      </w:r>
      <w:proofErr w:type="spellEnd"/>
      <w:r>
        <w:rPr>
          <w:rFonts w:ascii="Times New Roman" w:hAnsi="Times New Roman" w:cs="Times New Roman"/>
          <w:sz w:val="20"/>
        </w:rPr>
        <w:t xml:space="preserve"> study with an AUROC=</w:t>
      </w:r>
      <w:r w:rsidRPr="00C10A04">
        <w:rPr>
          <w:rFonts w:ascii="Times New Roman" w:hAnsi="Times New Roman" w:cs="Times New Roman"/>
          <w:sz w:val="20"/>
        </w:rPr>
        <w:t>0.691 for the tool in their validation coh</w:t>
      </w:r>
      <w:r>
        <w:rPr>
          <w:rFonts w:ascii="Times New Roman" w:hAnsi="Times New Roman" w:cs="Times New Roman"/>
          <w:sz w:val="20"/>
        </w:rPr>
        <w:t xml:space="preserve">ort, this study showed an AUROC=0.6245, </w:t>
      </w:r>
      <w:r w:rsidRPr="00C10A04">
        <w:rPr>
          <w:rFonts w:ascii="Times New Roman" w:hAnsi="Times New Roman" w:cs="Times New Roman"/>
          <w:sz w:val="20"/>
        </w:rPr>
        <w:t>0.2847 and 0.5993 in the 3-month, 6-month</w:t>
      </w:r>
      <w:r>
        <w:rPr>
          <w:rFonts w:ascii="Times New Roman" w:hAnsi="Times New Roman" w:cs="Times New Roman"/>
          <w:sz w:val="20"/>
        </w:rPr>
        <w:t xml:space="preserve"> and</w:t>
      </w:r>
      <w:r w:rsidRPr="00C10A04">
        <w:rPr>
          <w:rFonts w:ascii="Times New Roman" w:hAnsi="Times New Roman" w:cs="Times New Roman"/>
          <w:sz w:val="20"/>
        </w:rPr>
        <w:t xml:space="preserve"> over-all mortality groups respectively</w:t>
      </w:r>
      <w:r>
        <w:rPr>
          <w:rFonts w:ascii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</w:rPr>
        <w:t>[Figure 1]</w:t>
      </w:r>
      <w:r w:rsidRPr="00C10A04">
        <w:rPr>
          <w:rFonts w:ascii="Times New Roman" w:hAnsi="Times New Roman" w:cs="Times New Roman"/>
          <w:sz w:val="20"/>
        </w:rPr>
        <w:t>.</w:t>
      </w:r>
      <w:proofErr w:type="gramEnd"/>
      <w:r w:rsidRPr="00C10A04">
        <w:rPr>
          <w:rFonts w:ascii="Times New Roman" w:hAnsi="Times New Roman" w:cs="Times New Roman"/>
          <w:sz w:val="20"/>
        </w:rPr>
        <w:t xml:space="preserve"> As the score increased for the three groups, the tool became less sensitive and more specific with a concomitant increase in accuracy for predicting mortality.</w:t>
      </w:r>
    </w:p>
    <w:p w:rsidR="00C10A04" w:rsidRDefault="00C10A04" w:rsidP="00C10A04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765DDEB" wp14:editId="39FF44C8">
            <wp:extent cx="2067339" cy="1311966"/>
            <wp:effectExtent l="0" t="0" r="952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452" cy="1314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0FE8048" wp14:editId="0E8BF28C">
            <wp:extent cx="1828799" cy="1272208"/>
            <wp:effectExtent l="0" t="0" r="63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278" cy="1276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9E494AA" wp14:editId="41281340">
            <wp:extent cx="1963970" cy="1216549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972" cy="121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A04" w:rsidRPr="00C10A04" w:rsidRDefault="00C10A04" w:rsidP="00C10A04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C10A04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C10A04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C10A04">
        <w:rPr>
          <w:rFonts w:ascii="Times New Roman" w:hAnsi="Times New Roman" w:cs="Times New Roman"/>
          <w:i/>
          <w:sz w:val="18"/>
        </w:rPr>
        <w:t>Area under the ROC curve of risk prediction tool to predict 3</w:t>
      </w:r>
      <w:r w:rsidRPr="00C10A04">
        <w:rPr>
          <w:rFonts w:ascii="Times New Roman" w:hAnsi="Times New Roman" w:cs="Times New Roman"/>
          <w:i/>
          <w:sz w:val="18"/>
          <w:vertAlign w:val="superscript"/>
        </w:rPr>
        <w:t>rd</w:t>
      </w:r>
      <w:r w:rsidRPr="00C10A04">
        <w:rPr>
          <w:rFonts w:ascii="Times New Roman" w:hAnsi="Times New Roman" w:cs="Times New Roman"/>
          <w:i/>
          <w:sz w:val="18"/>
        </w:rPr>
        <w:t>, 6</w:t>
      </w:r>
      <w:r w:rsidRPr="00C10A04">
        <w:rPr>
          <w:rFonts w:ascii="Times New Roman" w:hAnsi="Times New Roman" w:cs="Times New Roman"/>
          <w:i/>
          <w:sz w:val="18"/>
          <w:vertAlign w:val="superscript"/>
        </w:rPr>
        <w:t>th</w:t>
      </w:r>
      <w:r w:rsidRPr="00C10A04">
        <w:rPr>
          <w:rFonts w:ascii="Times New Roman" w:hAnsi="Times New Roman" w:cs="Times New Roman"/>
          <w:i/>
          <w:sz w:val="18"/>
        </w:rPr>
        <w:t xml:space="preserve"> month and overall mortality.</w:t>
      </w:r>
      <w:proofErr w:type="gramEnd"/>
    </w:p>
    <w:p w:rsidR="00C10A04" w:rsidRDefault="00C10A04" w:rsidP="00C10A04">
      <w:pPr>
        <w:jc w:val="both"/>
        <w:rPr>
          <w:rFonts w:ascii="Times New Roman" w:hAnsi="Times New Roman" w:cs="Times New Roman"/>
          <w:sz w:val="20"/>
        </w:rPr>
      </w:pPr>
      <w:r w:rsidRPr="00C10A04">
        <w:rPr>
          <w:rFonts w:ascii="Times New Roman" w:hAnsi="Times New Roman" w:cs="Times New Roman"/>
          <w:b/>
          <w:sz w:val="20"/>
        </w:rPr>
        <w:t>Conclusion:</w:t>
      </w:r>
      <w:r w:rsidRPr="00C10A04">
        <w:rPr>
          <w:rFonts w:ascii="Times New Roman" w:hAnsi="Times New Roman" w:cs="Times New Roman"/>
          <w:sz w:val="20"/>
        </w:rPr>
        <w:t xml:space="preserve"> Despite the poor performance of the tool in predicting mortality in terms of AUROC in this study, the sensitivity</w:t>
      </w:r>
      <w:r>
        <w:rPr>
          <w:rFonts w:ascii="Times New Roman" w:hAnsi="Times New Roman" w:cs="Times New Roman"/>
          <w:sz w:val="20"/>
        </w:rPr>
        <w:t xml:space="preserve"> and</w:t>
      </w:r>
      <w:r w:rsidRPr="00C10A04">
        <w:rPr>
          <w:rFonts w:ascii="Times New Roman" w:hAnsi="Times New Roman" w:cs="Times New Roman"/>
          <w:sz w:val="20"/>
        </w:rPr>
        <w:t xml:space="preserve"> specificity had a similar performance in the </w:t>
      </w:r>
      <w:proofErr w:type="spellStart"/>
      <w:r w:rsidRPr="00C10A04">
        <w:rPr>
          <w:rFonts w:ascii="Times New Roman" w:hAnsi="Times New Roman" w:cs="Times New Roman"/>
          <w:sz w:val="20"/>
        </w:rPr>
        <w:t>Thamer</w:t>
      </w:r>
      <w:proofErr w:type="spellEnd"/>
      <w:r w:rsidRPr="00C10A04">
        <w:rPr>
          <w:rFonts w:ascii="Times New Roman" w:hAnsi="Times New Roman" w:cs="Times New Roman"/>
          <w:sz w:val="20"/>
        </w:rPr>
        <w:t xml:space="preserve"> study. Furthermore, the consistent </w:t>
      </w:r>
      <w:r w:rsidRPr="00C10A04">
        <w:rPr>
          <w:rFonts w:ascii="Times New Roman" w:hAnsi="Times New Roman" w:cs="Times New Roman"/>
          <w:sz w:val="20"/>
        </w:rPr>
        <w:t>trend of accuracy of predicting mortality in these groups reflects</w:t>
      </w:r>
      <w:r w:rsidRPr="00C10A04">
        <w:rPr>
          <w:rFonts w:ascii="Times New Roman" w:hAnsi="Times New Roman" w:cs="Times New Roman"/>
          <w:sz w:val="20"/>
        </w:rPr>
        <w:t xml:space="preserve"> that a higher score portends to a higher accuracy in predicting mortality.</w:t>
      </w:r>
    </w:p>
    <w:p w:rsidR="00C10A04" w:rsidRPr="00C10A04" w:rsidRDefault="00C10A04" w:rsidP="00C10A04">
      <w:pPr>
        <w:rPr>
          <w:rFonts w:ascii="Times New Roman" w:hAnsi="Times New Roman" w:cs="Times New Roman"/>
          <w:b/>
          <w:sz w:val="24"/>
        </w:rPr>
      </w:pPr>
      <w:r w:rsidRPr="00C10A04">
        <w:rPr>
          <w:rFonts w:ascii="Times New Roman" w:hAnsi="Times New Roman" w:cs="Times New Roman"/>
          <w:b/>
          <w:sz w:val="24"/>
        </w:rPr>
        <w:t>Biography</w:t>
      </w:r>
    </w:p>
    <w:p w:rsidR="00C10A04" w:rsidRDefault="00C10A04" w:rsidP="00C10A04">
      <w:pPr>
        <w:jc w:val="both"/>
        <w:rPr>
          <w:rFonts w:ascii="Times New Roman" w:hAnsi="Times New Roman" w:cs="Times New Roman"/>
          <w:sz w:val="20"/>
        </w:rPr>
      </w:pPr>
      <w:r w:rsidRPr="00C10A04">
        <w:rPr>
          <w:rFonts w:ascii="Times New Roman" w:hAnsi="Times New Roman" w:cs="Times New Roman"/>
          <w:sz w:val="20"/>
        </w:rPr>
        <w:t xml:space="preserve">Rachelle </w:t>
      </w:r>
      <w:proofErr w:type="spellStart"/>
      <w:r w:rsidRPr="00C10A04">
        <w:rPr>
          <w:rFonts w:ascii="Times New Roman" w:hAnsi="Times New Roman" w:cs="Times New Roman"/>
          <w:sz w:val="20"/>
        </w:rPr>
        <w:t>Zolla</w:t>
      </w:r>
      <w:proofErr w:type="spellEnd"/>
      <w:r w:rsidRPr="00C10A04">
        <w:rPr>
          <w:rFonts w:ascii="Times New Roman" w:hAnsi="Times New Roman" w:cs="Times New Roman"/>
          <w:sz w:val="20"/>
        </w:rPr>
        <w:t xml:space="preserve"> S. </w:t>
      </w:r>
      <w:proofErr w:type="spellStart"/>
      <w:r w:rsidRPr="00C10A04">
        <w:rPr>
          <w:rFonts w:ascii="Times New Roman" w:hAnsi="Times New Roman" w:cs="Times New Roman"/>
          <w:sz w:val="20"/>
        </w:rPr>
        <w:t>Ciudadano-Manalaysay</w:t>
      </w:r>
      <w:proofErr w:type="spellEnd"/>
      <w:r w:rsidRPr="00C10A04">
        <w:rPr>
          <w:rFonts w:ascii="Times New Roman" w:hAnsi="Times New Roman" w:cs="Times New Roman"/>
          <w:sz w:val="20"/>
        </w:rPr>
        <w:t xml:space="preserve"> is a young nephrologist who was trained in Davao City, Philippines. Her interests include dialysis, renal transplantation, critical care nephrology and glomerular diseases.</w:t>
      </w:r>
      <w:bookmarkEnd w:id="0"/>
    </w:p>
    <w:sectPr w:rsidR="00C10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A04"/>
    <w:rsid w:val="0032354D"/>
    <w:rsid w:val="00474203"/>
    <w:rsid w:val="00535872"/>
    <w:rsid w:val="00924B33"/>
    <w:rsid w:val="00C1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2023-04-20T12:37:00Z</dcterms:created>
  <dcterms:modified xsi:type="dcterms:W3CDTF">2023-04-20T12:45:00Z</dcterms:modified>
</cp:coreProperties>
</file>