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B9C" w:rsidRPr="00820B9C" w:rsidRDefault="00820B9C" w:rsidP="00820B9C">
      <w:pPr>
        <w:rPr>
          <w:rFonts w:ascii="Times New Roman" w:hAnsi="Times New Roman" w:cs="Times New Roman"/>
          <w:b/>
          <w:sz w:val="32"/>
        </w:rPr>
      </w:pPr>
      <w:r w:rsidRPr="00820B9C">
        <w:rPr>
          <w:rFonts w:ascii="Times New Roman" w:hAnsi="Times New Roman" w:cs="Times New Roman"/>
          <w:b/>
          <w:sz w:val="32"/>
        </w:rPr>
        <w:t xml:space="preserve">Vulnerability based of </w:t>
      </w:r>
      <w:r w:rsidRPr="00820B9C">
        <w:rPr>
          <w:rFonts w:ascii="Times New Roman" w:hAnsi="Times New Roman" w:cs="Times New Roman"/>
          <w:b/>
          <w:sz w:val="32"/>
        </w:rPr>
        <w:t xml:space="preserve">frailty index </w:t>
      </w:r>
      <w:r w:rsidRPr="00820B9C">
        <w:rPr>
          <w:rFonts w:ascii="Times New Roman" w:hAnsi="Times New Roman" w:cs="Times New Roman"/>
          <w:b/>
          <w:sz w:val="32"/>
        </w:rPr>
        <w:t xml:space="preserve">in elderly patients with </w:t>
      </w:r>
      <w:r w:rsidRPr="00820B9C">
        <w:rPr>
          <w:rFonts w:ascii="Times New Roman" w:hAnsi="Times New Roman" w:cs="Times New Roman"/>
          <w:b/>
          <w:sz w:val="32"/>
        </w:rPr>
        <w:t>COVID</w:t>
      </w:r>
      <w:r w:rsidRPr="00820B9C">
        <w:rPr>
          <w:rFonts w:ascii="Times New Roman" w:hAnsi="Times New Roman" w:cs="Times New Roman"/>
          <w:b/>
          <w:sz w:val="32"/>
        </w:rPr>
        <w:t>-19: A nursing assessment data analysis approach</w:t>
      </w:r>
    </w:p>
    <w:p w:rsidR="00820B9C" w:rsidRPr="00820B9C" w:rsidRDefault="00820B9C" w:rsidP="00820B9C">
      <w:pPr>
        <w:rPr>
          <w:rFonts w:ascii="Times New Roman" w:hAnsi="Times New Roman" w:cs="Times New Roman"/>
          <w:sz w:val="24"/>
        </w:rPr>
      </w:pPr>
      <w:r w:rsidRPr="00820B9C">
        <w:rPr>
          <w:rFonts w:ascii="Times New Roman" w:hAnsi="Times New Roman" w:cs="Times New Roman"/>
          <w:sz w:val="24"/>
        </w:rPr>
        <w:t xml:space="preserve">Ali </w:t>
      </w:r>
      <w:proofErr w:type="spellStart"/>
      <w:r w:rsidRPr="00820B9C">
        <w:rPr>
          <w:rFonts w:ascii="Times New Roman" w:hAnsi="Times New Roman" w:cs="Times New Roman"/>
          <w:sz w:val="24"/>
        </w:rPr>
        <w:t>Dadgari</w:t>
      </w:r>
      <w:proofErr w:type="spellEnd"/>
      <w:r w:rsidRPr="00820B9C">
        <w:rPr>
          <w:rFonts w:ascii="Times New Roman" w:hAnsi="Times New Roman" w:cs="Times New Roman"/>
          <w:sz w:val="24"/>
        </w:rPr>
        <w:t xml:space="preserve">*, </w:t>
      </w:r>
      <w:proofErr w:type="spellStart"/>
      <w:r w:rsidRPr="00820B9C">
        <w:rPr>
          <w:rFonts w:ascii="Times New Roman" w:hAnsi="Times New Roman" w:cs="Times New Roman"/>
          <w:sz w:val="24"/>
        </w:rPr>
        <w:t>Fatemeh</w:t>
      </w:r>
      <w:proofErr w:type="spellEnd"/>
      <w:r w:rsidRPr="00820B9C">
        <w:rPr>
          <w:rFonts w:ascii="Times New Roman" w:hAnsi="Times New Roman" w:cs="Times New Roman"/>
          <w:sz w:val="24"/>
        </w:rPr>
        <w:t xml:space="preserve"> </w:t>
      </w:r>
      <w:proofErr w:type="spellStart"/>
      <w:r w:rsidRPr="00820B9C">
        <w:rPr>
          <w:rFonts w:ascii="Times New Roman" w:hAnsi="Times New Roman" w:cs="Times New Roman"/>
          <w:sz w:val="24"/>
        </w:rPr>
        <w:t>Keshavarzian</w:t>
      </w:r>
      <w:proofErr w:type="spellEnd"/>
      <w:r w:rsidRPr="00820B9C">
        <w:rPr>
          <w:rFonts w:ascii="Times New Roman" w:hAnsi="Times New Roman" w:cs="Times New Roman"/>
          <w:sz w:val="24"/>
        </w:rPr>
        <w:t xml:space="preserve">, Ahmad </w:t>
      </w:r>
      <w:proofErr w:type="spellStart"/>
      <w:r w:rsidRPr="00820B9C">
        <w:rPr>
          <w:rFonts w:ascii="Times New Roman" w:hAnsi="Times New Roman" w:cs="Times New Roman"/>
          <w:sz w:val="24"/>
        </w:rPr>
        <w:t>Khosravi</w:t>
      </w:r>
      <w:proofErr w:type="spellEnd"/>
      <w:r>
        <w:rPr>
          <w:rFonts w:ascii="Times New Roman" w:hAnsi="Times New Roman" w:cs="Times New Roman"/>
          <w:sz w:val="24"/>
        </w:rPr>
        <w:t xml:space="preserve"> and</w:t>
      </w:r>
      <w:r w:rsidRPr="00820B9C">
        <w:rPr>
          <w:rFonts w:ascii="Times New Roman" w:hAnsi="Times New Roman" w:cs="Times New Roman"/>
          <w:sz w:val="24"/>
        </w:rPr>
        <w:t xml:space="preserve"> </w:t>
      </w:r>
      <w:proofErr w:type="spellStart"/>
      <w:r w:rsidRPr="00820B9C">
        <w:rPr>
          <w:rFonts w:ascii="Times New Roman" w:hAnsi="Times New Roman" w:cs="Times New Roman"/>
          <w:sz w:val="24"/>
        </w:rPr>
        <w:t>Marzieh</w:t>
      </w:r>
      <w:proofErr w:type="spellEnd"/>
      <w:r w:rsidRPr="00820B9C">
        <w:rPr>
          <w:rFonts w:ascii="Times New Roman" w:hAnsi="Times New Roman" w:cs="Times New Roman"/>
          <w:sz w:val="24"/>
        </w:rPr>
        <w:t xml:space="preserve"> </w:t>
      </w:r>
      <w:proofErr w:type="spellStart"/>
      <w:r w:rsidRPr="00820B9C">
        <w:rPr>
          <w:rFonts w:ascii="Times New Roman" w:hAnsi="Times New Roman" w:cs="Times New Roman"/>
          <w:sz w:val="24"/>
        </w:rPr>
        <w:t>Rouhani-Rasaf</w:t>
      </w:r>
      <w:proofErr w:type="spellEnd"/>
      <w:r w:rsidRPr="00820B9C">
        <w:rPr>
          <w:rFonts w:ascii="Times New Roman" w:hAnsi="Times New Roman" w:cs="Times New Roman"/>
          <w:sz w:val="24"/>
        </w:rPr>
        <w:t xml:space="preserve"> </w:t>
      </w:r>
    </w:p>
    <w:p w:rsidR="00820B9C" w:rsidRPr="00820B9C" w:rsidRDefault="00820B9C" w:rsidP="00820B9C">
      <w:pPr>
        <w:rPr>
          <w:rFonts w:ascii="Times New Roman" w:hAnsi="Times New Roman" w:cs="Times New Roman"/>
        </w:rPr>
      </w:pPr>
      <w:proofErr w:type="spellStart"/>
      <w:r w:rsidRPr="00820B9C">
        <w:rPr>
          <w:rFonts w:ascii="Times New Roman" w:hAnsi="Times New Roman" w:cs="Times New Roman"/>
        </w:rPr>
        <w:t>Shahroud</w:t>
      </w:r>
      <w:proofErr w:type="spellEnd"/>
      <w:r w:rsidRPr="00820B9C">
        <w:rPr>
          <w:rFonts w:ascii="Times New Roman" w:hAnsi="Times New Roman" w:cs="Times New Roman"/>
        </w:rPr>
        <w:t xml:space="preserve"> University of Medical Sciences, Iran</w:t>
      </w:r>
    </w:p>
    <w:p w:rsidR="00820B9C" w:rsidRPr="00820B9C" w:rsidRDefault="00820B9C" w:rsidP="00820B9C">
      <w:pPr>
        <w:jc w:val="center"/>
        <w:rPr>
          <w:rFonts w:ascii="Times New Roman" w:hAnsi="Times New Roman" w:cs="Times New Roman"/>
          <w:b/>
          <w:sz w:val="24"/>
        </w:rPr>
      </w:pPr>
      <w:r w:rsidRPr="00820B9C">
        <w:rPr>
          <w:rFonts w:ascii="Times New Roman" w:hAnsi="Times New Roman" w:cs="Times New Roman"/>
          <w:b/>
          <w:sz w:val="24"/>
        </w:rPr>
        <w:t>Abstract</w:t>
      </w:r>
    </w:p>
    <w:p w:rsidR="00820B9C" w:rsidRPr="00820B9C" w:rsidRDefault="00820B9C" w:rsidP="00820B9C">
      <w:pPr>
        <w:jc w:val="both"/>
        <w:rPr>
          <w:rFonts w:ascii="Times New Roman" w:hAnsi="Times New Roman" w:cs="Times New Roman"/>
          <w:sz w:val="20"/>
        </w:rPr>
      </w:pPr>
      <w:r w:rsidRPr="00820B9C">
        <w:rPr>
          <w:rFonts w:ascii="Times New Roman" w:hAnsi="Times New Roman" w:cs="Times New Roman"/>
          <w:b/>
          <w:sz w:val="20"/>
        </w:rPr>
        <w:t>Introduction:</w:t>
      </w:r>
      <w:r w:rsidRPr="00820B9C">
        <w:rPr>
          <w:rFonts w:ascii="Times New Roman" w:hAnsi="Times New Roman" w:cs="Times New Roman"/>
          <w:sz w:val="20"/>
        </w:rPr>
        <w:t xml:space="preserve"> The World Health Organization declared the Coronavirus Disease 2019 (COVID-19) a global pandemic on March 10, 2020. COVID-19 is prevalent in all age groups. Older adults are frailer to consequences of the disease. The frailty following COVID-19 has not been assessed. The Frailty Index (FI) is one of the screening tools for frailty</w:t>
      </w:r>
      <w:r w:rsidRPr="00820B9C">
        <w:rPr>
          <w:rFonts w:ascii="Times New Roman" w:hAnsi="Times New Roman" w:cs="Times New Roman"/>
          <w:sz w:val="20"/>
        </w:rPr>
        <w:t>.</w:t>
      </w:r>
      <w:r w:rsidRPr="00820B9C">
        <w:rPr>
          <w:rFonts w:ascii="Times New Roman" w:hAnsi="Times New Roman" w:cs="Times New Roman"/>
          <w:sz w:val="20"/>
        </w:rPr>
        <w:t xml:space="preserve"> The aim of this study was to assess the vulnerability in term of frailty index in middle age and older adults with COVID-19 ba</w:t>
      </w:r>
      <w:bookmarkStart w:id="0" w:name="_GoBack"/>
      <w:bookmarkEnd w:id="0"/>
      <w:r w:rsidRPr="00820B9C">
        <w:rPr>
          <w:rFonts w:ascii="Times New Roman" w:hAnsi="Times New Roman" w:cs="Times New Roman"/>
          <w:sz w:val="20"/>
        </w:rPr>
        <w:t xml:space="preserve">sed on nursing assessment data. </w:t>
      </w:r>
    </w:p>
    <w:p w:rsidR="00820B9C" w:rsidRPr="00820B9C" w:rsidRDefault="00820B9C" w:rsidP="00820B9C">
      <w:pPr>
        <w:jc w:val="both"/>
        <w:rPr>
          <w:rFonts w:ascii="Times New Roman" w:hAnsi="Times New Roman" w:cs="Times New Roman"/>
          <w:sz w:val="20"/>
        </w:rPr>
      </w:pPr>
      <w:r w:rsidRPr="00820B9C">
        <w:rPr>
          <w:rFonts w:ascii="Times New Roman" w:hAnsi="Times New Roman" w:cs="Times New Roman"/>
          <w:b/>
          <w:sz w:val="20"/>
        </w:rPr>
        <w:t>Methods:</w:t>
      </w:r>
      <w:r w:rsidRPr="00820B9C">
        <w:rPr>
          <w:rFonts w:ascii="Times New Roman" w:hAnsi="Times New Roman" w:cs="Times New Roman"/>
          <w:sz w:val="20"/>
        </w:rPr>
        <w:t xml:space="preserve"> This cross-sectional study used the pooled data from an epidemiological project on COVID-19 outbreak. Participants were fifty years old and above people, recruited from 20.2.2020 to 23.8.2020. The frailty index checklist was applied to assess frailty among the participants. The obtained data were analyzed by descriptive statistics, inferential statistics using SPSS software.</w:t>
      </w:r>
    </w:p>
    <w:p w:rsidR="00820B9C" w:rsidRDefault="00820B9C" w:rsidP="00820B9C">
      <w:pPr>
        <w:jc w:val="both"/>
        <w:rPr>
          <w:rFonts w:ascii="Times New Roman" w:hAnsi="Times New Roman" w:cs="Times New Roman"/>
          <w:sz w:val="20"/>
        </w:rPr>
      </w:pPr>
      <w:r w:rsidRPr="00820B9C">
        <w:rPr>
          <w:rFonts w:ascii="Times New Roman" w:hAnsi="Times New Roman" w:cs="Times New Roman"/>
          <w:b/>
          <w:sz w:val="20"/>
        </w:rPr>
        <w:t>Results:</w:t>
      </w:r>
      <w:r w:rsidRPr="00820B9C">
        <w:rPr>
          <w:rFonts w:ascii="Times New Roman" w:hAnsi="Times New Roman" w:cs="Times New Roman"/>
          <w:sz w:val="20"/>
        </w:rPr>
        <w:t xml:space="preserve"> A total number of 868 participants were diagnosed with COVID-19. The results of this study indicated that demographic characteristics including older ages (P</w:t>
      </w:r>
      <w:r>
        <w:rPr>
          <w:rFonts w:ascii="Times New Roman" w:hAnsi="Times New Roman" w:cs="Times New Roman"/>
          <w:sz w:val="20"/>
        </w:rPr>
        <w:t xml:space="preserve"> </w:t>
      </w:r>
      <w:r w:rsidRPr="00820B9C">
        <w:rPr>
          <w:rFonts w:ascii="Times New Roman" w:hAnsi="Times New Roman" w:cs="Times New Roman"/>
          <w:sz w:val="20"/>
        </w:rPr>
        <w:t>≤ .00), smoking (P</w:t>
      </w:r>
      <w:r>
        <w:rPr>
          <w:rFonts w:ascii="Times New Roman" w:hAnsi="Times New Roman" w:cs="Times New Roman"/>
          <w:sz w:val="20"/>
        </w:rPr>
        <w:t xml:space="preserve"> </w:t>
      </w:r>
      <w:r w:rsidRPr="00820B9C">
        <w:rPr>
          <w:rFonts w:ascii="Times New Roman" w:hAnsi="Times New Roman" w:cs="Times New Roman"/>
          <w:sz w:val="20"/>
        </w:rPr>
        <w:t>≤ .00) and history of cardiovascular disease (P</w:t>
      </w:r>
      <w:r>
        <w:rPr>
          <w:rFonts w:ascii="Times New Roman" w:hAnsi="Times New Roman" w:cs="Times New Roman"/>
          <w:sz w:val="20"/>
        </w:rPr>
        <w:t xml:space="preserve"> </w:t>
      </w:r>
      <w:r w:rsidRPr="00820B9C">
        <w:rPr>
          <w:rFonts w:ascii="Times New Roman" w:hAnsi="Times New Roman" w:cs="Times New Roman"/>
          <w:sz w:val="20"/>
        </w:rPr>
        <w:t>≤ .00), cancer (P=.02) and neurological diseases (P=.02) were correlated in mortality of patients with COVID-19, according to the frailty index</w:t>
      </w:r>
      <w:r w:rsidR="000113B5">
        <w:rPr>
          <w:rFonts w:ascii="Times New Roman" w:hAnsi="Times New Roman" w:cs="Times New Roman"/>
          <w:sz w:val="20"/>
        </w:rPr>
        <w:t xml:space="preserve"> [Table 1]</w:t>
      </w:r>
      <w:r w:rsidRPr="00820B9C">
        <w:rPr>
          <w:rFonts w:ascii="Times New Roman" w:hAnsi="Times New Roman" w:cs="Times New Roman"/>
          <w:sz w:val="20"/>
        </w:rPr>
        <w:t xml:space="preserve">. </w:t>
      </w:r>
    </w:p>
    <w:p w:rsidR="00820B9C" w:rsidRPr="000113B5" w:rsidRDefault="00820B9C" w:rsidP="000113B5">
      <w:pPr>
        <w:jc w:val="center"/>
        <w:rPr>
          <w:rFonts w:ascii="Times New Roman" w:hAnsi="Times New Roman" w:cs="Times New Roman"/>
          <w:i/>
          <w:sz w:val="18"/>
        </w:rPr>
      </w:pPr>
      <w:proofErr w:type="gramStart"/>
      <w:r w:rsidRPr="000113B5">
        <w:rPr>
          <w:rFonts w:ascii="Times New Roman" w:hAnsi="Times New Roman" w:cs="Times New Roman"/>
          <w:b/>
          <w:i/>
          <w:sz w:val="18"/>
        </w:rPr>
        <w:t>Table 1.</w:t>
      </w:r>
      <w:proofErr w:type="gramEnd"/>
      <w:r w:rsidRPr="000113B5">
        <w:rPr>
          <w:rFonts w:ascii="Times New Roman" w:hAnsi="Times New Roman" w:cs="Times New Roman"/>
          <w:i/>
          <w:sz w:val="18"/>
        </w:rPr>
        <w:t xml:space="preserve"> Number and percentage of FI of the elderly with COVID-19 based FI.</w:t>
      </w:r>
    </w:p>
    <w:tbl>
      <w:tblPr>
        <w:tblStyle w:val="TableGrid"/>
        <w:tblW w:w="0" w:type="auto"/>
        <w:jc w:val="center"/>
        <w:tblLook w:val="04A0" w:firstRow="1" w:lastRow="0" w:firstColumn="1" w:lastColumn="0" w:noHBand="0" w:noVBand="1"/>
      </w:tblPr>
      <w:tblGrid>
        <w:gridCol w:w="1855"/>
        <w:gridCol w:w="1083"/>
      </w:tblGrid>
      <w:tr w:rsidR="000113B5" w:rsidTr="000113B5">
        <w:trPr>
          <w:jc w:val="center"/>
        </w:trPr>
        <w:tc>
          <w:tcPr>
            <w:tcW w:w="1855" w:type="dxa"/>
          </w:tcPr>
          <w:p w:rsidR="000113B5" w:rsidRPr="000113B5" w:rsidRDefault="000113B5" w:rsidP="000113B5">
            <w:pPr>
              <w:jc w:val="center"/>
              <w:rPr>
                <w:rFonts w:ascii="Arial" w:hAnsi="Arial" w:cs="Arial"/>
                <w:b/>
                <w:sz w:val="14"/>
                <w:szCs w:val="14"/>
              </w:rPr>
            </w:pPr>
            <w:r w:rsidRPr="000113B5">
              <w:rPr>
                <w:rFonts w:ascii="Arial" w:hAnsi="Arial" w:cs="Arial"/>
                <w:b/>
                <w:sz w:val="14"/>
                <w:szCs w:val="14"/>
              </w:rPr>
              <w:t>Number (percent)</w:t>
            </w:r>
          </w:p>
        </w:tc>
        <w:tc>
          <w:tcPr>
            <w:tcW w:w="1083" w:type="dxa"/>
          </w:tcPr>
          <w:p w:rsidR="000113B5" w:rsidRPr="000113B5" w:rsidRDefault="000113B5" w:rsidP="000113B5">
            <w:pPr>
              <w:jc w:val="center"/>
              <w:rPr>
                <w:rFonts w:ascii="Arial" w:hAnsi="Arial" w:cs="Arial"/>
                <w:b/>
                <w:sz w:val="14"/>
                <w:szCs w:val="14"/>
              </w:rPr>
            </w:pPr>
            <w:r w:rsidRPr="000113B5">
              <w:rPr>
                <w:rFonts w:ascii="Arial" w:hAnsi="Arial" w:cs="Arial"/>
                <w:b/>
                <w:sz w:val="14"/>
                <w:szCs w:val="14"/>
              </w:rPr>
              <w:t>FI</w:t>
            </w:r>
          </w:p>
        </w:tc>
      </w:tr>
      <w:tr w:rsidR="000113B5" w:rsidTr="000113B5">
        <w:trPr>
          <w:jc w:val="center"/>
        </w:trPr>
        <w:tc>
          <w:tcPr>
            <w:tcW w:w="1855" w:type="dxa"/>
          </w:tcPr>
          <w:p w:rsidR="000113B5" w:rsidRPr="000113B5" w:rsidRDefault="000113B5" w:rsidP="000113B5">
            <w:pPr>
              <w:jc w:val="center"/>
              <w:rPr>
                <w:rFonts w:ascii="Arial" w:hAnsi="Arial" w:cs="Arial"/>
                <w:sz w:val="14"/>
                <w:szCs w:val="14"/>
              </w:rPr>
            </w:pPr>
            <w:r w:rsidRPr="000113B5">
              <w:rPr>
                <w:rFonts w:ascii="Arial" w:hAnsi="Arial" w:cs="Arial"/>
                <w:sz w:val="14"/>
                <w:szCs w:val="14"/>
              </w:rPr>
              <w:t>573 (66.01)</w:t>
            </w:r>
          </w:p>
        </w:tc>
        <w:tc>
          <w:tcPr>
            <w:tcW w:w="1083" w:type="dxa"/>
          </w:tcPr>
          <w:p w:rsidR="000113B5" w:rsidRPr="000113B5" w:rsidRDefault="000113B5" w:rsidP="000113B5">
            <w:pPr>
              <w:jc w:val="center"/>
              <w:rPr>
                <w:rFonts w:ascii="Arial" w:hAnsi="Arial" w:cs="Arial"/>
                <w:sz w:val="14"/>
                <w:szCs w:val="14"/>
              </w:rPr>
            </w:pPr>
            <w:r w:rsidRPr="000113B5">
              <w:rPr>
                <w:rFonts w:ascii="Arial" w:hAnsi="Arial" w:cs="Arial"/>
                <w:sz w:val="14"/>
                <w:szCs w:val="14"/>
              </w:rPr>
              <w:t>0.03-0.32</w:t>
            </w:r>
          </w:p>
        </w:tc>
      </w:tr>
      <w:tr w:rsidR="000113B5" w:rsidTr="000113B5">
        <w:trPr>
          <w:jc w:val="center"/>
        </w:trPr>
        <w:tc>
          <w:tcPr>
            <w:tcW w:w="1855" w:type="dxa"/>
          </w:tcPr>
          <w:p w:rsidR="000113B5" w:rsidRPr="000113B5" w:rsidRDefault="000113B5" w:rsidP="000113B5">
            <w:pPr>
              <w:jc w:val="center"/>
              <w:rPr>
                <w:rFonts w:ascii="Arial" w:hAnsi="Arial" w:cs="Arial"/>
                <w:sz w:val="14"/>
                <w:szCs w:val="14"/>
              </w:rPr>
            </w:pPr>
            <w:r w:rsidRPr="000113B5">
              <w:rPr>
                <w:rFonts w:ascii="Arial" w:hAnsi="Arial" w:cs="Arial"/>
                <w:sz w:val="14"/>
                <w:szCs w:val="14"/>
              </w:rPr>
              <w:t>275 (31.69)</w:t>
            </w:r>
          </w:p>
        </w:tc>
        <w:tc>
          <w:tcPr>
            <w:tcW w:w="1083" w:type="dxa"/>
          </w:tcPr>
          <w:p w:rsidR="000113B5" w:rsidRPr="000113B5" w:rsidRDefault="000113B5" w:rsidP="000113B5">
            <w:pPr>
              <w:jc w:val="center"/>
              <w:rPr>
                <w:rFonts w:ascii="Arial" w:hAnsi="Arial" w:cs="Arial"/>
                <w:sz w:val="14"/>
                <w:szCs w:val="14"/>
              </w:rPr>
            </w:pPr>
            <w:r w:rsidRPr="000113B5">
              <w:rPr>
                <w:rFonts w:ascii="Arial" w:hAnsi="Arial" w:cs="Arial"/>
                <w:sz w:val="14"/>
                <w:szCs w:val="14"/>
              </w:rPr>
              <w:t>0.35-0.61</w:t>
            </w:r>
          </w:p>
        </w:tc>
      </w:tr>
      <w:tr w:rsidR="000113B5" w:rsidTr="000113B5">
        <w:trPr>
          <w:jc w:val="center"/>
        </w:trPr>
        <w:tc>
          <w:tcPr>
            <w:tcW w:w="1855" w:type="dxa"/>
          </w:tcPr>
          <w:p w:rsidR="000113B5" w:rsidRPr="000113B5" w:rsidRDefault="000113B5" w:rsidP="000113B5">
            <w:pPr>
              <w:jc w:val="center"/>
              <w:rPr>
                <w:rFonts w:ascii="Arial" w:hAnsi="Arial" w:cs="Arial"/>
                <w:sz w:val="14"/>
                <w:szCs w:val="14"/>
              </w:rPr>
            </w:pPr>
            <w:r w:rsidRPr="000113B5">
              <w:rPr>
                <w:rFonts w:ascii="Arial" w:hAnsi="Arial" w:cs="Arial"/>
                <w:sz w:val="14"/>
                <w:szCs w:val="14"/>
              </w:rPr>
              <w:t>20 (2.30)</w:t>
            </w:r>
          </w:p>
        </w:tc>
        <w:tc>
          <w:tcPr>
            <w:tcW w:w="1083" w:type="dxa"/>
          </w:tcPr>
          <w:p w:rsidR="000113B5" w:rsidRPr="000113B5" w:rsidRDefault="000113B5" w:rsidP="000113B5">
            <w:pPr>
              <w:jc w:val="center"/>
              <w:rPr>
                <w:rFonts w:ascii="Arial" w:hAnsi="Arial" w:cs="Arial"/>
                <w:sz w:val="14"/>
                <w:szCs w:val="14"/>
              </w:rPr>
            </w:pPr>
            <w:r w:rsidRPr="000113B5">
              <w:rPr>
                <w:rFonts w:ascii="Arial" w:hAnsi="Arial" w:cs="Arial"/>
                <w:sz w:val="14"/>
                <w:szCs w:val="14"/>
              </w:rPr>
              <w:t>0.67-1</w:t>
            </w:r>
          </w:p>
        </w:tc>
      </w:tr>
    </w:tbl>
    <w:p w:rsidR="00820B9C" w:rsidRPr="00820B9C" w:rsidRDefault="00820B9C" w:rsidP="000113B5">
      <w:pPr>
        <w:spacing w:before="200"/>
        <w:jc w:val="both"/>
        <w:rPr>
          <w:rFonts w:ascii="Times New Roman" w:hAnsi="Times New Roman" w:cs="Times New Roman"/>
          <w:sz w:val="20"/>
        </w:rPr>
      </w:pPr>
      <w:r w:rsidRPr="00820B9C">
        <w:rPr>
          <w:rFonts w:ascii="Times New Roman" w:hAnsi="Times New Roman" w:cs="Times New Roman"/>
          <w:b/>
          <w:sz w:val="20"/>
        </w:rPr>
        <w:t>Conclusion:</w:t>
      </w:r>
      <w:r w:rsidRPr="00820B9C">
        <w:rPr>
          <w:rFonts w:ascii="Times New Roman" w:hAnsi="Times New Roman" w:cs="Times New Roman"/>
          <w:sz w:val="20"/>
        </w:rPr>
        <w:t xml:space="preserve"> Using frailty index checklist to assess the older adults enables nurses to assess their patients without missing important and necessary symptoms. This will speed up the timely diagnosis of patients and commencement of treatment. To further assess the potential of the Frailty Index as a screening and monitoring instrument for frailty in primary care of aged patients, knowledge of its characteristics is essential.</w:t>
      </w:r>
    </w:p>
    <w:p w:rsidR="00820B9C" w:rsidRPr="00820B9C" w:rsidRDefault="00820B9C" w:rsidP="00820B9C">
      <w:pPr>
        <w:jc w:val="both"/>
        <w:rPr>
          <w:rFonts w:ascii="Times New Roman" w:hAnsi="Times New Roman" w:cs="Times New Roman"/>
          <w:sz w:val="20"/>
        </w:rPr>
      </w:pPr>
      <w:r w:rsidRPr="00820B9C">
        <w:rPr>
          <w:rFonts w:ascii="Times New Roman" w:hAnsi="Times New Roman" w:cs="Times New Roman"/>
          <w:b/>
          <w:sz w:val="20"/>
        </w:rPr>
        <w:t>Keywords:</w:t>
      </w:r>
      <w:r w:rsidRPr="00820B9C">
        <w:rPr>
          <w:rFonts w:ascii="Times New Roman" w:hAnsi="Times New Roman" w:cs="Times New Roman"/>
          <w:sz w:val="20"/>
        </w:rPr>
        <w:t xml:space="preserve"> Nursing </w:t>
      </w:r>
      <w:r w:rsidRPr="00820B9C">
        <w:rPr>
          <w:rFonts w:ascii="Times New Roman" w:hAnsi="Times New Roman" w:cs="Times New Roman"/>
          <w:sz w:val="20"/>
        </w:rPr>
        <w:t>assessment</w:t>
      </w:r>
      <w:r w:rsidRPr="00820B9C">
        <w:rPr>
          <w:rFonts w:ascii="Times New Roman" w:hAnsi="Times New Roman" w:cs="Times New Roman"/>
          <w:sz w:val="20"/>
        </w:rPr>
        <w:t xml:space="preserve">, Frailty </w:t>
      </w:r>
      <w:r w:rsidRPr="00820B9C">
        <w:rPr>
          <w:rFonts w:ascii="Times New Roman" w:hAnsi="Times New Roman" w:cs="Times New Roman"/>
          <w:sz w:val="20"/>
        </w:rPr>
        <w:t>index</w:t>
      </w:r>
      <w:r w:rsidRPr="00820B9C">
        <w:rPr>
          <w:rFonts w:ascii="Times New Roman" w:hAnsi="Times New Roman" w:cs="Times New Roman"/>
          <w:sz w:val="20"/>
        </w:rPr>
        <w:t xml:space="preserve">, Aged, COVID-19, </w:t>
      </w:r>
      <w:proofErr w:type="gramStart"/>
      <w:r w:rsidRPr="00820B9C">
        <w:rPr>
          <w:rFonts w:ascii="Times New Roman" w:hAnsi="Times New Roman" w:cs="Times New Roman"/>
          <w:sz w:val="20"/>
        </w:rPr>
        <w:t>Vulnerability</w:t>
      </w:r>
      <w:proofErr w:type="gramEnd"/>
      <w:r w:rsidRPr="00820B9C">
        <w:rPr>
          <w:rFonts w:ascii="Times New Roman" w:hAnsi="Times New Roman" w:cs="Times New Roman"/>
          <w:sz w:val="20"/>
        </w:rPr>
        <w:t>.</w:t>
      </w:r>
    </w:p>
    <w:p w:rsidR="00820B9C" w:rsidRPr="00820B9C" w:rsidRDefault="00820B9C" w:rsidP="00820B9C">
      <w:pPr>
        <w:rPr>
          <w:rFonts w:ascii="Times New Roman" w:hAnsi="Times New Roman" w:cs="Times New Roman"/>
          <w:b/>
          <w:sz w:val="24"/>
        </w:rPr>
      </w:pPr>
      <w:r w:rsidRPr="00820B9C">
        <w:rPr>
          <w:rFonts w:ascii="Times New Roman" w:hAnsi="Times New Roman" w:cs="Times New Roman"/>
          <w:b/>
          <w:sz w:val="24"/>
        </w:rPr>
        <w:t>Biography</w:t>
      </w:r>
    </w:p>
    <w:p w:rsidR="00474203" w:rsidRPr="00820B9C" w:rsidRDefault="00820B9C" w:rsidP="00820B9C">
      <w:pPr>
        <w:jc w:val="both"/>
        <w:rPr>
          <w:rFonts w:ascii="Times New Roman" w:hAnsi="Times New Roman" w:cs="Times New Roman"/>
          <w:sz w:val="20"/>
        </w:rPr>
      </w:pPr>
      <w:r w:rsidRPr="00820B9C">
        <w:rPr>
          <w:rFonts w:ascii="Times New Roman" w:hAnsi="Times New Roman" w:cs="Times New Roman"/>
          <w:sz w:val="20"/>
        </w:rPr>
        <w:t xml:space="preserve">Ali </w:t>
      </w:r>
      <w:proofErr w:type="spellStart"/>
      <w:r w:rsidRPr="00820B9C">
        <w:rPr>
          <w:rFonts w:ascii="Times New Roman" w:hAnsi="Times New Roman" w:cs="Times New Roman"/>
          <w:sz w:val="20"/>
        </w:rPr>
        <w:t>Dadgari</w:t>
      </w:r>
      <w:proofErr w:type="spellEnd"/>
      <w:r w:rsidRPr="00820B9C">
        <w:rPr>
          <w:rFonts w:ascii="Times New Roman" w:hAnsi="Times New Roman" w:cs="Times New Roman"/>
          <w:sz w:val="20"/>
        </w:rPr>
        <w:t xml:space="preserve"> completed his PhD in Gerontology from UPM, Malaysia. He completed his Master of Nursing Education from </w:t>
      </w:r>
      <w:proofErr w:type="spellStart"/>
      <w:r w:rsidRPr="00820B9C">
        <w:rPr>
          <w:rFonts w:ascii="Times New Roman" w:hAnsi="Times New Roman" w:cs="Times New Roman"/>
          <w:sz w:val="20"/>
        </w:rPr>
        <w:t>Shahid</w:t>
      </w:r>
      <w:proofErr w:type="spellEnd"/>
      <w:r w:rsidRPr="00820B9C">
        <w:rPr>
          <w:rFonts w:ascii="Times New Roman" w:hAnsi="Times New Roman" w:cs="Times New Roman"/>
          <w:sz w:val="20"/>
        </w:rPr>
        <w:t xml:space="preserve"> </w:t>
      </w:r>
      <w:proofErr w:type="spellStart"/>
      <w:r w:rsidRPr="00820B9C">
        <w:rPr>
          <w:rFonts w:ascii="Times New Roman" w:hAnsi="Times New Roman" w:cs="Times New Roman"/>
          <w:sz w:val="20"/>
        </w:rPr>
        <w:t>Beheshti</w:t>
      </w:r>
      <w:proofErr w:type="spellEnd"/>
      <w:r w:rsidRPr="00820B9C">
        <w:rPr>
          <w:rFonts w:ascii="Times New Roman" w:hAnsi="Times New Roman" w:cs="Times New Roman"/>
          <w:sz w:val="20"/>
        </w:rPr>
        <w:t xml:space="preserve"> University of Medical Sciences, Iran and Bachelor of Nursing from </w:t>
      </w:r>
      <w:proofErr w:type="spellStart"/>
      <w:r w:rsidRPr="00820B9C">
        <w:rPr>
          <w:rFonts w:ascii="Times New Roman" w:hAnsi="Times New Roman" w:cs="Times New Roman"/>
          <w:sz w:val="20"/>
        </w:rPr>
        <w:t>Shahid</w:t>
      </w:r>
      <w:proofErr w:type="spellEnd"/>
      <w:r w:rsidRPr="00820B9C">
        <w:rPr>
          <w:rFonts w:ascii="Times New Roman" w:hAnsi="Times New Roman" w:cs="Times New Roman"/>
          <w:sz w:val="20"/>
        </w:rPr>
        <w:t xml:space="preserve"> </w:t>
      </w:r>
      <w:proofErr w:type="spellStart"/>
      <w:r w:rsidRPr="00820B9C">
        <w:rPr>
          <w:rFonts w:ascii="Times New Roman" w:hAnsi="Times New Roman" w:cs="Times New Roman"/>
          <w:sz w:val="20"/>
        </w:rPr>
        <w:t>Beheshti</w:t>
      </w:r>
      <w:proofErr w:type="spellEnd"/>
      <w:r w:rsidRPr="00820B9C">
        <w:rPr>
          <w:rFonts w:ascii="Times New Roman" w:hAnsi="Times New Roman" w:cs="Times New Roman"/>
          <w:sz w:val="20"/>
        </w:rPr>
        <w:t xml:space="preserve"> University of Medical Sciences, Iran. </w:t>
      </w:r>
      <w:r>
        <w:rPr>
          <w:rFonts w:ascii="Times New Roman" w:hAnsi="Times New Roman" w:cs="Times New Roman"/>
          <w:sz w:val="20"/>
        </w:rPr>
        <w:t>He</w:t>
      </w:r>
      <w:r w:rsidRPr="00820B9C">
        <w:rPr>
          <w:rFonts w:ascii="Times New Roman" w:hAnsi="Times New Roman" w:cs="Times New Roman"/>
          <w:sz w:val="20"/>
        </w:rPr>
        <w:t xml:space="preserve"> has an academic activity history as a faculty member at </w:t>
      </w:r>
      <w:proofErr w:type="spellStart"/>
      <w:r w:rsidRPr="00820B9C">
        <w:rPr>
          <w:rFonts w:ascii="Times New Roman" w:hAnsi="Times New Roman" w:cs="Times New Roman"/>
          <w:sz w:val="20"/>
        </w:rPr>
        <w:t>Shahroud</w:t>
      </w:r>
      <w:proofErr w:type="spellEnd"/>
      <w:r w:rsidRPr="00820B9C">
        <w:rPr>
          <w:rFonts w:ascii="Times New Roman" w:hAnsi="Times New Roman" w:cs="Times New Roman"/>
          <w:sz w:val="20"/>
        </w:rPr>
        <w:t xml:space="preserve"> University of Medical Sciences since 1994. Also, he has some management and executive records such as</w:t>
      </w:r>
      <w:r>
        <w:rPr>
          <w:rFonts w:ascii="Times New Roman" w:hAnsi="Times New Roman" w:cs="Times New Roman"/>
          <w:sz w:val="20"/>
        </w:rPr>
        <w:t xml:space="preserve"> </w:t>
      </w:r>
      <w:r w:rsidRPr="00820B9C">
        <w:rPr>
          <w:rFonts w:ascii="Times New Roman" w:hAnsi="Times New Roman" w:cs="Times New Roman"/>
          <w:sz w:val="20"/>
        </w:rPr>
        <w:t>Member of the Research Council of the Research Center for Behavioral and Social Sciences in Health in 2009, General Manager of Empowerment an</w:t>
      </w:r>
      <w:r>
        <w:rPr>
          <w:rFonts w:ascii="Times New Roman" w:hAnsi="Times New Roman" w:cs="Times New Roman"/>
          <w:sz w:val="20"/>
        </w:rPr>
        <w:t>d Productivity of Human Capital-</w:t>
      </w:r>
      <w:r w:rsidRPr="00820B9C">
        <w:rPr>
          <w:rFonts w:ascii="Times New Roman" w:hAnsi="Times New Roman" w:cs="Times New Roman"/>
          <w:sz w:val="20"/>
        </w:rPr>
        <w:t xml:space="preserve">Deputy Minister of Nursing, Ministry of Health 2017, Representative of the Ministry of Health in the National Council for Food Safety and the Elderly 2017. </w:t>
      </w:r>
    </w:p>
    <w:sectPr w:rsidR="00474203" w:rsidRPr="00820B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B9C"/>
    <w:rsid w:val="000113B5"/>
    <w:rsid w:val="0032354D"/>
    <w:rsid w:val="00474203"/>
    <w:rsid w:val="00535872"/>
    <w:rsid w:val="00820B9C"/>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20B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20B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441</Words>
  <Characters>2519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2023-04-13T08:50:00Z</dcterms:created>
  <dcterms:modified xsi:type="dcterms:W3CDTF">2023-04-13T09:09:00Z</dcterms:modified>
</cp:coreProperties>
</file>