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69F4">
      <w:pPr>
        <w:rPr>
          <w:rFonts w:ascii="Times New Roman" w:hAnsi="Times New Roman" w:cs="Times New Roman"/>
          <w:b/>
          <w:sz w:val="32"/>
        </w:rPr>
      </w:pPr>
      <w:r w:rsidRPr="00EB69F4">
        <w:rPr>
          <w:rFonts w:ascii="Times New Roman" w:hAnsi="Times New Roman" w:cs="Times New Roman"/>
          <w:b/>
          <w:sz w:val="32"/>
        </w:rPr>
        <w:t>Suspected side effects in geriatric patients following vaccination with the vaccines indicated for SARS-C</w:t>
      </w:r>
      <w:r>
        <w:rPr>
          <w:rFonts w:ascii="Times New Roman" w:hAnsi="Times New Roman" w:cs="Times New Roman"/>
          <w:b/>
          <w:sz w:val="32"/>
        </w:rPr>
        <w:t>оV-2 on the territory of the EU</w:t>
      </w:r>
      <w:r w:rsidRPr="00EB69F4">
        <w:rPr>
          <w:rFonts w:ascii="Times New Roman" w:hAnsi="Times New Roman" w:cs="Times New Roman"/>
          <w:b/>
          <w:sz w:val="32"/>
        </w:rPr>
        <w:t>-The role of the clinical pharmacist</w:t>
      </w:r>
    </w:p>
    <w:p w:rsidR="00EB69F4" w:rsidRDefault="00EB69F4">
      <w:pPr>
        <w:rPr>
          <w:rFonts w:ascii="Times New Roman" w:hAnsi="Times New Roman" w:cs="Times New Roman"/>
          <w:sz w:val="24"/>
        </w:rPr>
      </w:pPr>
      <w:proofErr w:type="spellStart"/>
      <w:r w:rsidRPr="00EB69F4">
        <w:rPr>
          <w:rFonts w:ascii="Times New Roman" w:hAnsi="Times New Roman" w:cs="Times New Roman"/>
          <w:sz w:val="24"/>
        </w:rPr>
        <w:t>Denitsa</w:t>
      </w:r>
      <w:proofErr w:type="spellEnd"/>
      <w:r w:rsidRPr="00EB69F4">
        <w:rPr>
          <w:rFonts w:ascii="Times New Roman" w:hAnsi="Times New Roman" w:cs="Times New Roman"/>
          <w:sz w:val="24"/>
        </w:rPr>
        <w:t xml:space="preserve"> </w:t>
      </w:r>
      <w:proofErr w:type="spellStart"/>
      <w:r w:rsidRPr="00EB69F4">
        <w:rPr>
          <w:rFonts w:ascii="Times New Roman" w:hAnsi="Times New Roman" w:cs="Times New Roman"/>
          <w:sz w:val="24"/>
        </w:rPr>
        <w:t>Panayotova</w:t>
      </w:r>
      <w:proofErr w:type="spellEnd"/>
      <w:r>
        <w:rPr>
          <w:rFonts w:ascii="Times New Roman" w:hAnsi="Times New Roman" w:cs="Times New Roman"/>
          <w:sz w:val="24"/>
        </w:rPr>
        <w:t xml:space="preserve">*, </w:t>
      </w:r>
      <w:proofErr w:type="spellStart"/>
      <w:r w:rsidRPr="00EB69F4">
        <w:rPr>
          <w:rFonts w:ascii="Times New Roman" w:hAnsi="Times New Roman" w:cs="Times New Roman"/>
          <w:sz w:val="24"/>
        </w:rPr>
        <w:t>Alexina</w:t>
      </w:r>
      <w:proofErr w:type="spellEnd"/>
      <w:r w:rsidRPr="00EB69F4">
        <w:rPr>
          <w:rFonts w:ascii="Times New Roman" w:hAnsi="Times New Roman" w:cs="Times New Roman"/>
          <w:sz w:val="24"/>
        </w:rPr>
        <w:t xml:space="preserve"> </w:t>
      </w:r>
      <w:proofErr w:type="spellStart"/>
      <w:r w:rsidRPr="00EB69F4">
        <w:rPr>
          <w:rFonts w:ascii="Times New Roman" w:hAnsi="Times New Roman" w:cs="Times New Roman"/>
          <w:sz w:val="24"/>
        </w:rPr>
        <w:t>Parvanova</w:t>
      </w:r>
      <w:proofErr w:type="spellEnd"/>
      <w:r>
        <w:rPr>
          <w:rFonts w:ascii="Times New Roman" w:hAnsi="Times New Roman" w:cs="Times New Roman"/>
          <w:sz w:val="24"/>
        </w:rPr>
        <w:t xml:space="preserve">, </w:t>
      </w:r>
      <w:r w:rsidRPr="00EB69F4">
        <w:rPr>
          <w:rFonts w:ascii="Times New Roman" w:hAnsi="Times New Roman" w:cs="Times New Roman"/>
          <w:sz w:val="24"/>
        </w:rPr>
        <w:t xml:space="preserve">Maria </w:t>
      </w:r>
      <w:proofErr w:type="spellStart"/>
      <w:r w:rsidRPr="00EB69F4">
        <w:rPr>
          <w:rFonts w:ascii="Times New Roman" w:hAnsi="Times New Roman" w:cs="Times New Roman"/>
          <w:sz w:val="24"/>
        </w:rPr>
        <w:t>Dimitrova</w:t>
      </w:r>
      <w:proofErr w:type="spellEnd"/>
      <w:r>
        <w:rPr>
          <w:rFonts w:ascii="Times New Roman" w:hAnsi="Times New Roman" w:cs="Times New Roman"/>
          <w:sz w:val="24"/>
        </w:rPr>
        <w:t xml:space="preserve">, </w:t>
      </w:r>
      <w:r w:rsidRPr="00EB69F4">
        <w:rPr>
          <w:rFonts w:ascii="Times New Roman" w:hAnsi="Times New Roman" w:cs="Times New Roman"/>
          <w:sz w:val="24"/>
        </w:rPr>
        <w:t xml:space="preserve">Maria </w:t>
      </w:r>
      <w:proofErr w:type="spellStart"/>
      <w:r w:rsidRPr="00EB69F4">
        <w:rPr>
          <w:rFonts w:ascii="Times New Roman" w:hAnsi="Times New Roman" w:cs="Times New Roman"/>
          <w:sz w:val="24"/>
        </w:rPr>
        <w:t>Kamusheva</w:t>
      </w:r>
      <w:proofErr w:type="spellEnd"/>
      <w:r>
        <w:rPr>
          <w:rFonts w:ascii="Times New Roman" w:hAnsi="Times New Roman" w:cs="Times New Roman"/>
          <w:sz w:val="24"/>
        </w:rPr>
        <w:t xml:space="preserve"> and </w:t>
      </w:r>
      <w:proofErr w:type="spellStart"/>
      <w:r w:rsidRPr="00EB69F4">
        <w:rPr>
          <w:rFonts w:ascii="Times New Roman" w:hAnsi="Times New Roman" w:cs="Times New Roman"/>
          <w:sz w:val="24"/>
        </w:rPr>
        <w:t>Ilko</w:t>
      </w:r>
      <w:proofErr w:type="spellEnd"/>
      <w:r w:rsidRPr="00EB69F4">
        <w:rPr>
          <w:rFonts w:ascii="Times New Roman" w:hAnsi="Times New Roman" w:cs="Times New Roman"/>
          <w:sz w:val="24"/>
        </w:rPr>
        <w:t xml:space="preserve"> </w:t>
      </w:r>
      <w:proofErr w:type="spellStart"/>
      <w:r w:rsidRPr="00EB69F4">
        <w:rPr>
          <w:rFonts w:ascii="Times New Roman" w:hAnsi="Times New Roman" w:cs="Times New Roman"/>
          <w:sz w:val="24"/>
        </w:rPr>
        <w:t>Getov</w:t>
      </w:r>
      <w:proofErr w:type="spellEnd"/>
    </w:p>
    <w:p w:rsidR="00EB69F4" w:rsidRPr="00EB69F4" w:rsidRDefault="00EB69F4">
      <w:pPr>
        <w:rPr>
          <w:rFonts w:ascii="Times New Roman" w:hAnsi="Times New Roman" w:cs="Times New Roman"/>
        </w:rPr>
      </w:pPr>
      <w:r w:rsidRPr="00EB69F4">
        <w:rPr>
          <w:rFonts w:ascii="Times New Roman" w:hAnsi="Times New Roman" w:cs="Times New Roman"/>
        </w:rPr>
        <w:t>Medical University of Sofia, Bulgaria</w:t>
      </w:r>
    </w:p>
    <w:p w:rsidR="00EB69F4" w:rsidRPr="00EB69F4" w:rsidRDefault="00EB69F4" w:rsidP="00EB69F4">
      <w:pPr>
        <w:jc w:val="center"/>
        <w:rPr>
          <w:rFonts w:ascii="Times New Roman" w:hAnsi="Times New Roman" w:cs="Times New Roman"/>
          <w:b/>
          <w:sz w:val="24"/>
        </w:rPr>
      </w:pPr>
      <w:r w:rsidRPr="00EB69F4">
        <w:rPr>
          <w:rFonts w:ascii="Times New Roman" w:hAnsi="Times New Roman" w:cs="Times New Roman"/>
          <w:b/>
          <w:sz w:val="24"/>
        </w:rPr>
        <w:t>Abstract</w:t>
      </w:r>
    </w:p>
    <w:p w:rsidR="00EB69F4" w:rsidRDefault="00EB69F4" w:rsidP="00EB69F4">
      <w:pPr>
        <w:jc w:val="both"/>
        <w:rPr>
          <w:rFonts w:ascii="Times New Roman" w:hAnsi="Times New Roman" w:cs="Times New Roman"/>
          <w:sz w:val="20"/>
        </w:rPr>
      </w:pPr>
      <w:r w:rsidRPr="00EB69F4">
        <w:rPr>
          <w:rFonts w:ascii="Times New Roman" w:hAnsi="Times New Roman" w:cs="Times New Roman"/>
          <w:b/>
          <w:sz w:val="20"/>
        </w:rPr>
        <w:t xml:space="preserve">Statement of the </w:t>
      </w:r>
      <w:r w:rsidRPr="00EB69F4">
        <w:rPr>
          <w:rFonts w:ascii="Times New Roman" w:hAnsi="Times New Roman" w:cs="Times New Roman"/>
          <w:b/>
          <w:sz w:val="20"/>
        </w:rPr>
        <w:t>problem</w:t>
      </w:r>
      <w:r w:rsidRPr="00EB69F4">
        <w:rPr>
          <w:rFonts w:ascii="Times New Roman" w:hAnsi="Times New Roman" w:cs="Times New Roman"/>
          <w:b/>
          <w:sz w:val="20"/>
        </w:rPr>
        <w:t>:</w:t>
      </w:r>
      <w:r w:rsidRPr="00EB69F4">
        <w:rPr>
          <w:rFonts w:ascii="Times New Roman" w:hAnsi="Times New Roman" w:cs="Times New Roman"/>
          <w:sz w:val="20"/>
        </w:rPr>
        <w:t xml:space="preserve"> Over the last years, the European regulator has incorporated all available mechanisms and also created</w:t>
      </w:r>
      <w:bookmarkStart w:id="0" w:name="_GoBack"/>
      <w:bookmarkEnd w:id="0"/>
      <w:r w:rsidRPr="00EB69F4">
        <w:rPr>
          <w:rFonts w:ascii="Times New Roman" w:hAnsi="Times New Roman" w:cs="Times New Roman"/>
          <w:sz w:val="20"/>
        </w:rPr>
        <w:t xml:space="preserve"> new regulatory approaches with pharmacovigilance focus to provide European citizens with quality, safe and effective vaccines. The aim of this study was to analyze the </w:t>
      </w:r>
      <w:r w:rsidRPr="00EB69F4">
        <w:rPr>
          <w:rFonts w:ascii="Times New Roman" w:hAnsi="Times New Roman" w:cs="Times New Roman"/>
          <w:sz w:val="20"/>
        </w:rPr>
        <w:t xml:space="preserve">Suspected Side Effects </w:t>
      </w:r>
      <w:r w:rsidRPr="00EB69F4">
        <w:rPr>
          <w:rFonts w:ascii="Times New Roman" w:hAnsi="Times New Roman" w:cs="Times New Roman"/>
          <w:sz w:val="20"/>
        </w:rPr>
        <w:t xml:space="preserve">(SSI) in geriatric patients following vaccination with </w:t>
      </w:r>
      <w:r w:rsidRPr="00EB69F4">
        <w:rPr>
          <w:rFonts w:ascii="Times New Roman" w:hAnsi="Times New Roman" w:cs="Times New Roman"/>
          <w:sz w:val="20"/>
        </w:rPr>
        <w:t>COVID</w:t>
      </w:r>
      <w:r w:rsidRPr="00EB69F4">
        <w:rPr>
          <w:rFonts w:ascii="Times New Roman" w:hAnsi="Times New Roman" w:cs="Times New Roman"/>
          <w:sz w:val="20"/>
        </w:rPr>
        <w:t xml:space="preserve">-19 vaccines and the possibilities for their prevention through the inclusion of clinical pharmacists in the vaccination process. </w:t>
      </w:r>
    </w:p>
    <w:p w:rsidR="00EB69F4" w:rsidRDefault="00EB69F4" w:rsidP="00EB69F4">
      <w:pPr>
        <w:jc w:val="both"/>
        <w:rPr>
          <w:rFonts w:ascii="Times New Roman" w:hAnsi="Times New Roman" w:cs="Times New Roman"/>
          <w:sz w:val="20"/>
        </w:rPr>
      </w:pPr>
      <w:r w:rsidRPr="00EB69F4">
        <w:rPr>
          <w:rFonts w:ascii="Times New Roman" w:hAnsi="Times New Roman" w:cs="Times New Roman"/>
          <w:b/>
          <w:sz w:val="20"/>
        </w:rPr>
        <w:t xml:space="preserve">Methodology &amp; </w:t>
      </w:r>
      <w:r w:rsidRPr="00EB69F4">
        <w:rPr>
          <w:rFonts w:ascii="Times New Roman" w:hAnsi="Times New Roman" w:cs="Times New Roman"/>
          <w:b/>
          <w:sz w:val="20"/>
        </w:rPr>
        <w:t>theoretical orientation</w:t>
      </w:r>
      <w:r w:rsidRPr="00EB69F4">
        <w:rPr>
          <w:rFonts w:ascii="Times New Roman" w:hAnsi="Times New Roman" w:cs="Times New Roman"/>
          <w:b/>
          <w:sz w:val="20"/>
        </w:rPr>
        <w:t>:</w:t>
      </w:r>
      <w:r w:rsidRPr="00EB69F4">
        <w:rPr>
          <w:rFonts w:ascii="Times New Roman" w:hAnsi="Times New Roman" w:cs="Times New Roman"/>
          <w:sz w:val="20"/>
        </w:rPr>
        <w:t xml:space="preserve"> Scoping literature review was conducted on the information concerning safety of vaccines in the scientific databases using keywords search (COVID-19 vaccines, Pharmacovigilance, Safety of COVID-19 vaccines). A critical analysis was performed on the information in </w:t>
      </w:r>
      <w:proofErr w:type="spellStart"/>
      <w:r w:rsidRPr="00EB69F4">
        <w:rPr>
          <w:rFonts w:ascii="Times New Roman" w:hAnsi="Times New Roman" w:cs="Times New Roman"/>
          <w:sz w:val="20"/>
        </w:rPr>
        <w:t>EudraVigilance</w:t>
      </w:r>
      <w:proofErr w:type="spellEnd"/>
      <w:r w:rsidRPr="00EB69F4">
        <w:rPr>
          <w:rFonts w:ascii="Times New Roman" w:hAnsi="Times New Roman" w:cs="Times New Roman"/>
          <w:sz w:val="20"/>
        </w:rPr>
        <w:t xml:space="preserve"> System (EVS) for the vaccines indicated for SARS-CоV-2</w:t>
      </w:r>
      <w:r>
        <w:rPr>
          <w:rFonts w:ascii="Times New Roman" w:hAnsi="Times New Roman" w:cs="Times New Roman"/>
          <w:sz w:val="20"/>
        </w:rPr>
        <w:t xml:space="preserve"> </w:t>
      </w:r>
      <w:r w:rsidRPr="00EB69F4">
        <w:rPr>
          <w:rFonts w:ascii="Times New Roman" w:hAnsi="Times New Roman" w:cs="Times New Roman"/>
          <w:sz w:val="20"/>
        </w:rPr>
        <w:t xml:space="preserve">on the territory of the EU. The analysis included the period from first marketing authorization for vaccine with indication SARS-CoV-2 infection and ended approximately two years later. </w:t>
      </w:r>
    </w:p>
    <w:p w:rsidR="00EB69F4" w:rsidRDefault="00EB69F4" w:rsidP="00EB69F4">
      <w:pPr>
        <w:jc w:val="both"/>
        <w:rPr>
          <w:rFonts w:ascii="Times New Roman" w:hAnsi="Times New Roman" w:cs="Times New Roman"/>
          <w:sz w:val="20"/>
        </w:rPr>
      </w:pPr>
      <w:r w:rsidRPr="00EB69F4">
        <w:rPr>
          <w:rFonts w:ascii="Times New Roman" w:hAnsi="Times New Roman" w:cs="Times New Roman"/>
          <w:b/>
          <w:sz w:val="20"/>
        </w:rPr>
        <w:t>Findings:</w:t>
      </w:r>
      <w:r w:rsidRPr="00EB69F4">
        <w:rPr>
          <w:rFonts w:ascii="Times New Roman" w:hAnsi="Times New Roman" w:cs="Times New Roman"/>
          <w:sz w:val="20"/>
        </w:rPr>
        <w:t xml:space="preserve"> From 21</w:t>
      </w:r>
      <w:r w:rsidRPr="00EB69F4">
        <w:rPr>
          <w:rFonts w:ascii="Times New Roman" w:hAnsi="Times New Roman" w:cs="Times New Roman"/>
          <w:sz w:val="20"/>
          <w:vertAlign w:val="superscript"/>
        </w:rPr>
        <w:t>st</w:t>
      </w:r>
      <w:r>
        <w:rPr>
          <w:rFonts w:ascii="Times New Roman" w:hAnsi="Times New Roman" w:cs="Times New Roman"/>
          <w:sz w:val="20"/>
        </w:rPr>
        <w:t xml:space="preserve"> December to 14</w:t>
      </w:r>
      <w:r w:rsidRPr="00EB69F4">
        <w:rPr>
          <w:rFonts w:ascii="Times New Roman" w:hAnsi="Times New Roman" w:cs="Times New Roman"/>
          <w:sz w:val="20"/>
          <w:vertAlign w:val="superscript"/>
        </w:rPr>
        <w:t>th</w:t>
      </w:r>
      <w:r>
        <w:rPr>
          <w:rFonts w:ascii="Times New Roman" w:hAnsi="Times New Roman" w:cs="Times New Roman"/>
          <w:sz w:val="20"/>
        </w:rPr>
        <w:t xml:space="preserve"> </w:t>
      </w:r>
      <w:r w:rsidRPr="00EB69F4">
        <w:rPr>
          <w:rFonts w:ascii="Times New Roman" w:hAnsi="Times New Roman" w:cs="Times New Roman"/>
          <w:sz w:val="20"/>
        </w:rPr>
        <w:t>May 2022, the reported cases in the EVS for geriatric patients were 272 253 (26</w:t>
      </w:r>
      <w:proofErr w:type="gramStart"/>
      <w:r w:rsidRPr="00EB69F4">
        <w:rPr>
          <w:rFonts w:ascii="Times New Roman" w:hAnsi="Times New Roman" w:cs="Times New Roman"/>
          <w:sz w:val="20"/>
        </w:rPr>
        <w:t>,8</w:t>
      </w:r>
      <w:proofErr w:type="gramEnd"/>
      <w:r w:rsidRPr="00EB69F4">
        <w:rPr>
          <w:rFonts w:ascii="Times New Roman" w:hAnsi="Times New Roman" w:cs="Times New Roman"/>
          <w:sz w:val="20"/>
        </w:rPr>
        <w:t>% of all reported cases), of which 61% affect women and respectively 38% men. The clinical pharmacist has a crucial role in discussing with geriatric patients any vaccine concerns emphasizing on the most prevalent side effects, importance of vaccination, managing drug-related problems and contraindications. Adding the peculiarities of elderly patients, exclusion from most clinical trials and the relatively lower rates of reporting for</w:t>
      </w:r>
      <w:r>
        <w:rPr>
          <w:rFonts w:ascii="Times New Roman" w:hAnsi="Times New Roman" w:cs="Times New Roman"/>
          <w:sz w:val="20"/>
        </w:rPr>
        <w:t xml:space="preserve"> </w:t>
      </w:r>
      <w:r w:rsidRPr="00EB69F4">
        <w:rPr>
          <w:rFonts w:ascii="Times New Roman" w:hAnsi="Times New Roman" w:cs="Times New Roman"/>
          <w:sz w:val="20"/>
        </w:rPr>
        <w:t>this age group, the clinical pharmacist should proactively monitor the course of vaccination, participate and encourage reporting of a</w:t>
      </w:r>
      <w:r>
        <w:rPr>
          <w:rFonts w:ascii="Times New Roman" w:hAnsi="Times New Roman" w:cs="Times New Roman"/>
          <w:sz w:val="20"/>
        </w:rPr>
        <w:t>ny relevant safety information.</w:t>
      </w:r>
    </w:p>
    <w:p w:rsidR="00EB69F4" w:rsidRDefault="00EB69F4" w:rsidP="00EB69F4">
      <w:pPr>
        <w:jc w:val="both"/>
        <w:rPr>
          <w:rFonts w:ascii="Times New Roman" w:hAnsi="Times New Roman" w:cs="Times New Roman"/>
          <w:sz w:val="20"/>
        </w:rPr>
      </w:pPr>
      <w:r w:rsidRPr="00EB69F4">
        <w:rPr>
          <w:rFonts w:ascii="Times New Roman" w:hAnsi="Times New Roman" w:cs="Times New Roman"/>
          <w:b/>
          <w:sz w:val="20"/>
        </w:rPr>
        <w:t>Conclusion:</w:t>
      </w:r>
      <w:r w:rsidRPr="00EB69F4">
        <w:rPr>
          <w:rFonts w:ascii="Times New Roman" w:hAnsi="Times New Roman" w:cs="Times New Roman"/>
          <w:sz w:val="20"/>
        </w:rPr>
        <w:t xml:space="preserve"> Considering the age-related changes in pharmacokinetics and pharmacodynamics and the increased risk of side effects among geriatrics, more attention should be paid to this vulnerable group and the clinical pharmacist’s potential to provide them with quality pharmaceutical care, corresponding to the constant changing </w:t>
      </w:r>
      <w:r w:rsidRPr="00EB69F4">
        <w:rPr>
          <w:rFonts w:ascii="Times New Roman" w:hAnsi="Times New Roman" w:cs="Times New Roman"/>
          <w:sz w:val="20"/>
        </w:rPr>
        <w:t>COVID</w:t>
      </w:r>
      <w:r w:rsidRPr="00EB69F4">
        <w:rPr>
          <w:rFonts w:ascii="Times New Roman" w:hAnsi="Times New Roman" w:cs="Times New Roman"/>
          <w:sz w:val="20"/>
        </w:rPr>
        <w:t>-19 situation.</w:t>
      </w:r>
    </w:p>
    <w:p w:rsidR="00EB69F4" w:rsidRPr="00EB69F4" w:rsidRDefault="00EB69F4" w:rsidP="00EB69F4">
      <w:pPr>
        <w:rPr>
          <w:rFonts w:ascii="Times New Roman" w:hAnsi="Times New Roman" w:cs="Times New Roman"/>
          <w:b/>
          <w:sz w:val="24"/>
        </w:rPr>
      </w:pPr>
      <w:r w:rsidRPr="00EB69F4">
        <w:rPr>
          <w:rFonts w:ascii="Times New Roman" w:hAnsi="Times New Roman" w:cs="Times New Roman"/>
          <w:b/>
          <w:sz w:val="24"/>
        </w:rPr>
        <w:t xml:space="preserve">Biography </w:t>
      </w:r>
    </w:p>
    <w:p w:rsidR="00EB69F4" w:rsidRPr="00EB69F4" w:rsidRDefault="00EB69F4" w:rsidP="00EB69F4">
      <w:pPr>
        <w:jc w:val="both"/>
        <w:rPr>
          <w:rFonts w:ascii="Times New Roman" w:hAnsi="Times New Roman" w:cs="Times New Roman"/>
          <w:sz w:val="20"/>
        </w:rPr>
      </w:pPr>
      <w:proofErr w:type="spellStart"/>
      <w:r>
        <w:rPr>
          <w:rFonts w:ascii="Times New Roman" w:hAnsi="Times New Roman" w:cs="Times New Roman"/>
          <w:sz w:val="20"/>
        </w:rPr>
        <w:t>Denitsa</w:t>
      </w:r>
      <w:proofErr w:type="spellEnd"/>
      <w:r>
        <w:rPr>
          <w:rFonts w:ascii="Times New Roman" w:hAnsi="Times New Roman" w:cs="Times New Roman"/>
          <w:sz w:val="20"/>
        </w:rPr>
        <w:t xml:space="preserve"> </w:t>
      </w:r>
      <w:proofErr w:type="spellStart"/>
      <w:r>
        <w:rPr>
          <w:rFonts w:ascii="Times New Roman" w:hAnsi="Times New Roman" w:cs="Times New Roman"/>
          <w:sz w:val="20"/>
        </w:rPr>
        <w:t>Panayotova</w:t>
      </w:r>
      <w:proofErr w:type="spellEnd"/>
      <w:r>
        <w:rPr>
          <w:rFonts w:ascii="Times New Roman" w:hAnsi="Times New Roman" w:cs="Times New Roman"/>
          <w:sz w:val="20"/>
        </w:rPr>
        <w:t xml:space="preserve"> is a</w:t>
      </w:r>
      <w:r w:rsidRPr="00EB69F4">
        <w:rPr>
          <w:rFonts w:ascii="Times New Roman" w:hAnsi="Times New Roman" w:cs="Times New Roman"/>
          <w:sz w:val="20"/>
        </w:rPr>
        <w:t xml:space="preserve"> PhD student, Faculty of Pharmacy, Medical University of Sofia</w:t>
      </w:r>
      <w:r>
        <w:rPr>
          <w:rFonts w:ascii="Times New Roman" w:hAnsi="Times New Roman" w:cs="Times New Roman"/>
          <w:sz w:val="20"/>
        </w:rPr>
        <w:t xml:space="preserve">–Bulgaria. </w:t>
      </w:r>
      <w:r w:rsidRPr="00EB69F4">
        <w:rPr>
          <w:rFonts w:ascii="Times New Roman" w:hAnsi="Times New Roman" w:cs="Times New Roman"/>
          <w:sz w:val="20"/>
        </w:rPr>
        <w:t xml:space="preserve">This study was conducted by a multidisciplinary team including leading scientists with long experience and interests in the field of drug safety and geriatrics, as well as PhD students from the Department of Pharmacy Organization and Economics at the Faculty </w:t>
      </w:r>
      <w:r>
        <w:rPr>
          <w:rFonts w:ascii="Times New Roman" w:hAnsi="Times New Roman" w:cs="Times New Roman"/>
          <w:sz w:val="20"/>
        </w:rPr>
        <w:t>of Pharmacy, Medical University-</w:t>
      </w:r>
      <w:r w:rsidRPr="00EB69F4">
        <w:rPr>
          <w:rFonts w:ascii="Times New Roman" w:hAnsi="Times New Roman" w:cs="Times New Roman"/>
          <w:sz w:val="20"/>
        </w:rPr>
        <w:t xml:space="preserve">Sofia, </w:t>
      </w:r>
      <w:proofErr w:type="gramStart"/>
      <w:r w:rsidRPr="00EB69F4">
        <w:rPr>
          <w:rFonts w:ascii="Times New Roman" w:hAnsi="Times New Roman" w:cs="Times New Roman"/>
          <w:sz w:val="20"/>
        </w:rPr>
        <w:t>Bulgaria</w:t>
      </w:r>
      <w:proofErr w:type="gramEnd"/>
      <w:r w:rsidRPr="00EB69F4">
        <w:rPr>
          <w:rFonts w:ascii="Times New Roman" w:hAnsi="Times New Roman" w:cs="Times New Roman"/>
          <w:sz w:val="20"/>
        </w:rPr>
        <w:t>. It is the integration of in-depth knowledge in both fields that makes possible the high level of expert assessment of suspected side effects in geriatric patients after vaccination and the definition of the pharmacist's role in preventing relevant ADRs after vaccination.</w:t>
      </w:r>
    </w:p>
    <w:sectPr w:rsidR="00EB69F4" w:rsidRPr="00EB6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9F4"/>
    <w:rsid w:val="0032354D"/>
    <w:rsid w:val="003E1357"/>
    <w:rsid w:val="00474203"/>
    <w:rsid w:val="00535872"/>
    <w:rsid w:val="00924B33"/>
    <w:rsid w:val="00EB6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2023-02-22T11:18:00Z</dcterms:created>
  <dcterms:modified xsi:type="dcterms:W3CDTF">2023-02-22T11:56:00Z</dcterms:modified>
</cp:coreProperties>
</file>