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377DB9" w:rsidP="00377DB9">
      <w:pPr>
        <w:rPr>
          <w:rFonts w:ascii="Times New Roman" w:hAnsi="Times New Roman" w:cs="Times New Roman"/>
          <w:b/>
          <w:sz w:val="32"/>
        </w:rPr>
      </w:pPr>
      <w:r w:rsidRPr="00377DB9">
        <w:rPr>
          <w:rFonts w:ascii="Times New Roman" w:hAnsi="Times New Roman" w:cs="Times New Roman"/>
          <w:b/>
          <w:sz w:val="32"/>
        </w:rPr>
        <w:t>Patterns of adverse drug reactions in Jordan: A retrospective analysis of the national pharmacovigilance data registry (2015-2021)</w:t>
      </w:r>
    </w:p>
    <w:p w:rsidR="00377DB9" w:rsidRDefault="00377DB9" w:rsidP="00377DB9">
      <w:pPr>
        <w:rPr>
          <w:rFonts w:ascii="Times New Roman" w:hAnsi="Times New Roman" w:cs="Times New Roman"/>
          <w:sz w:val="24"/>
        </w:rPr>
      </w:pPr>
      <w:proofErr w:type="spellStart"/>
      <w:r w:rsidRPr="00377DB9">
        <w:rPr>
          <w:rFonts w:ascii="Times New Roman" w:hAnsi="Times New Roman" w:cs="Times New Roman"/>
          <w:sz w:val="24"/>
        </w:rPr>
        <w:t>Hayaa</w:t>
      </w:r>
      <w:proofErr w:type="spellEnd"/>
      <w:r w:rsidRPr="00377D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7DB9">
        <w:rPr>
          <w:rFonts w:ascii="Times New Roman" w:hAnsi="Times New Roman" w:cs="Times New Roman"/>
          <w:sz w:val="24"/>
        </w:rPr>
        <w:t>Abdallah</w:t>
      </w:r>
      <w:proofErr w:type="spellEnd"/>
      <w:r w:rsidRPr="00377DB9">
        <w:rPr>
          <w:rFonts w:ascii="Times New Roman" w:hAnsi="Times New Roman" w:cs="Times New Roman"/>
          <w:sz w:val="24"/>
        </w:rPr>
        <w:t xml:space="preserve"> Banat</w:t>
      </w:r>
    </w:p>
    <w:p w:rsidR="00377DB9" w:rsidRPr="00377DB9" w:rsidRDefault="00377DB9" w:rsidP="00377DB9">
      <w:pPr>
        <w:rPr>
          <w:rFonts w:ascii="Times New Roman" w:hAnsi="Times New Roman" w:cs="Times New Roman"/>
        </w:rPr>
      </w:pPr>
      <w:r w:rsidRPr="00377DB9">
        <w:rPr>
          <w:rFonts w:ascii="Times New Roman" w:hAnsi="Times New Roman" w:cs="Times New Roman"/>
        </w:rPr>
        <w:t>Jordan Food and Drug Administration (JFDA), Jordan</w:t>
      </w:r>
    </w:p>
    <w:p w:rsidR="00377DB9" w:rsidRPr="00377DB9" w:rsidRDefault="00377DB9" w:rsidP="00377DB9">
      <w:pPr>
        <w:jc w:val="center"/>
        <w:rPr>
          <w:rFonts w:ascii="Times New Roman" w:hAnsi="Times New Roman" w:cs="Times New Roman"/>
          <w:b/>
          <w:sz w:val="24"/>
        </w:rPr>
      </w:pPr>
      <w:r w:rsidRPr="00377DB9">
        <w:rPr>
          <w:rFonts w:ascii="Times New Roman" w:hAnsi="Times New Roman" w:cs="Times New Roman"/>
          <w:b/>
          <w:sz w:val="24"/>
        </w:rPr>
        <w:t>Abstract</w:t>
      </w:r>
    </w:p>
    <w:p w:rsidR="00377DB9" w:rsidRPr="00377DB9" w:rsidRDefault="00377DB9" w:rsidP="00377DB9">
      <w:pPr>
        <w:jc w:val="both"/>
        <w:rPr>
          <w:rFonts w:ascii="Times New Roman" w:hAnsi="Times New Roman" w:cs="Times New Roman"/>
          <w:sz w:val="20"/>
        </w:rPr>
      </w:pPr>
      <w:r w:rsidRPr="00377DB9">
        <w:rPr>
          <w:rFonts w:ascii="Times New Roman" w:hAnsi="Times New Roman" w:cs="Times New Roman"/>
          <w:b/>
          <w:sz w:val="20"/>
        </w:rPr>
        <w:t>Background:</w:t>
      </w:r>
      <w:r w:rsidRPr="00377DB9">
        <w:rPr>
          <w:rFonts w:ascii="Times New Roman" w:hAnsi="Times New Roman" w:cs="Times New Roman"/>
          <w:sz w:val="20"/>
        </w:rPr>
        <w:t xml:space="preserve"> Post-marketing surveillance of drugs is a cornerstone of pharmacovigilance. This study was conducted to characterize patterns of </w:t>
      </w:r>
      <w:r w:rsidRPr="00377DB9">
        <w:rPr>
          <w:rFonts w:ascii="Times New Roman" w:hAnsi="Times New Roman" w:cs="Times New Roman"/>
          <w:sz w:val="20"/>
        </w:rPr>
        <w:t xml:space="preserve">Adverse Drug Reactions </w:t>
      </w:r>
      <w:r w:rsidRPr="00377DB9">
        <w:rPr>
          <w:rFonts w:ascii="Times New Roman" w:hAnsi="Times New Roman" w:cs="Times New Roman"/>
          <w:sz w:val="20"/>
        </w:rPr>
        <w:t>(ADRs) reporting in Jordan.</w:t>
      </w:r>
      <w:r w:rsidR="005C50B7">
        <w:rPr>
          <w:rFonts w:ascii="Times New Roman" w:hAnsi="Times New Roman" w:cs="Times New Roman"/>
          <w:sz w:val="20"/>
        </w:rPr>
        <w:t xml:space="preserve"> </w:t>
      </w:r>
    </w:p>
    <w:p w:rsidR="00377DB9" w:rsidRPr="00377DB9" w:rsidRDefault="00377DB9" w:rsidP="00377DB9">
      <w:pPr>
        <w:jc w:val="both"/>
        <w:rPr>
          <w:rFonts w:ascii="Times New Roman" w:hAnsi="Times New Roman" w:cs="Times New Roman"/>
          <w:sz w:val="20"/>
        </w:rPr>
      </w:pPr>
      <w:r w:rsidRPr="00377DB9">
        <w:rPr>
          <w:rFonts w:ascii="Times New Roman" w:hAnsi="Times New Roman" w:cs="Times New Roman"/>
          <w:b/>
          <w:sz w:val="20"/>
        </w:rPr>
        <w:t>Research design and methods:</w:t>
      </w:r>
      <w:r w:rsidRPr="00377DB9">
        <w:rPr>
          <w:rFonts w:ascii="Times New Roman" w:hAnsi="Times New Roman" w:cs="Times New Roman"/>
          <w:sz w:val="20"/>
        </w:rPr>
        <w:t xml:space="preserve"> ADR reports submitted to the pharmacovigilance database of the Jordan Food and Drug Administration during 2015-2021 were retrospectively analyzed. The most commonly reported drugs, drug classes, ADRs</w:t>
      </w:r>
      <w:r w:rsidR="005C50B7">
        <w:rPr>
          <w:rFonts w:ascii="Times New Roman" w:hAnsi="Times New Roman" w:cs="Times New Roman"/>
          <w:sz w:val="20"/>
        </w:rPr>
        <w:t xml:space="preserve"> and</w:t>
      </w:r>
      <w:r w:rsidRPr="00377DB9">
        <w:rPr>
          <w:rFonts w:ascii="Times New Roman" w:hAnsi="Times New Roman" w:cs="Times New Roman"/>
          <w:sz w:val="20"/>
        </w:rPr>
        <w:t xml:space="preserve"> ADRs co</w:t>
      </w:r>
      <w:bookmarkStart w:id="0" w:name="_GoBack"/>
      <w:bookmarkEnd w:id="0"/>
      <w:r w:rsidRPr="00377DB9">
        <w:rPr>
          <w:rFonts w:ascii="Times New Roman" w:hAnsi="Times New Roman" w:cs="Times New Roman"/>
          <w:sz w:val="20"/>
        </w:rPr>
        <w:t xml:space="preserve">nsequences were explored. Logistic regression identified possible predictors of reporting serious ADRs. </w:t>
      </w:r>
    </w:p>
    <w:p w:rsidR="00377DB9" w:rsidRPr="00377DB9" w:rsidRDefault="00377DB9" w:rsidP="00377DB9">
      <w:pPr>
        <w:jc w:val="both"/>
        <w:rPr>
          <w:rFonts w:ascii="Times New Roman" w:hAnsi="Times New Roman" w:cs="Times New Roman"/>
          <w:sz w:val="20"/>
        </w:rPr>
      </w:pPr>
      <w:r w:rsidRPr="00377DB9">
        <w:rPr>
          <w:rFonts w:ascii="Times New Roman" w:hAnsi="Times New Roman" w:cs="Times New Roman"/>
          <w:b/>
          <w:sz w:val="20"/>
        </w:rPr>
        <w:t>Results:</w:t>
      </w:r>
      <w:r w:rsidRPr="00377DB9">
        <w:rPr>
          <w:rFonts w:ascii="Times New Roman" w:hAnsi="Times New Roman" w:cs="Times New Roman"/>
          <w:sz w:val="20"/>
        </w:rPr>
        <w:t xml:space="preserve"> A total of 2744 ADR reports were included, among which 28.4% were classified as serious. An annual increase in ADR reporting was observed. The most commonly implicated drug classes were antineoplastic and </w:t>
      </w:r>
      <w:proofErr w:type="spellStart"/>
      <w:r w:rsidRPr="00377DB9">
        <w:rPr>
          <w:rFonts w:ascii="Times New Roman" w:hAnsi="Times New Roman" w:cs="Times New Roman"/>
          <w:sz w:val="20"/>
        </w:rPr>
        <w:t>immunomodulating</w:t>
      </w:r>
      <w:proofErr w:type="spellEnd"/>
      <w:r w:rsidRPr="00377DB9">
        <w:rPr>
          <w:rFonts w:ascii="Times New Roman" w:hAnsi="Times New Roman" w:cs="Times New Roman"/>
          <w:sz w:val="20"/>
        </w:rPr>
        <w:t xml:space="preserve"> agents (24.0%), anti-</w:t>
      </w:r>
      <w:r w:rsidRPr="00377DB9">
        <w:rPr>
          <w:rFonts w:ascii="Times New Roman" w:hAnsi="Times New Roman" w:cs="Times New Roman"/>
          <w:sz w:val="20"/>
        </w:rPr>
        <w:t>infective</w:t>
      </w:r>
      <w:r w:rsidRPr="00377DB9">
        <w:rPr>
          <w:rFonts w:ascii="Times New Roman" w:hAnsi="Times New Roman" w:cs="Times New Roman"/>
          <w:sz w:val="20"/>
        </w:rPr>
        <w:t xml:space="preserve"> for systemic use (14.2%)</w:t>
      </w:r>
      <w:r w:rsidR="005C50B7">
        <w:rPr>
          <w:rFonts w:ascii="Times New Roman" w:hAnsi="Times New Roman" w:cs="Times New Roman"/>
          <w:sz w:val="20"/>
        </w:rPr>
        <w:t xml:space="preserve"> and</w:t>
      </w:r>
      <w:r w:rsidRPr="00377DB9">
        <w:rPr>
          <w:rFonts w:ascii="Times New Roman" w:hAnsi="Times New Roman" w:cs="Times New Roman"/>
          <w:sz w:val="20"/>
        </w:rPr>
        <w:t xml:space="preserve"> alimentary tract and metabolism (12.1%). </w:t>
      </w:r>
      <w:r w:rsidRPr="00377DB9">
        <w:rPr>
          <w:rFonts w:ascii="Times New Roman" w:hAnsi="Times New Roman" w:cs="Times New Roman"/>
          <w:sz w:val="20"/>
        </w:rPr>
        <w:t>COVID</w:t>
      </w:r>
      <w:r w:rsidRPr="00377DB9">
        <w:rPr>
          <w:rFonts w:ascii="Times New Roman" w:hAnsi="Times New Roman" w:cs="Times New Roman"/>
          <w:sz w:val="20"/>
        </w:rPr>
        <w:t>-19 vaccination was the most reported drug (22.8%). Fatigue (6.3%), injection site pain (6.1%)</w:t>
      </w:r>
      <w:r w:rsidR="005C50B7">
        <w:rPr>
          <w:rFonts w:ascii="Times New Roman" w:hAnsi="Times New Roman" w:cs="Times New Roman"/>
          <w:sz w:val="20"/>
        </w:rPr>
        <w:t xml:space="preserve"> and</w:t>
      </w:r>
      <w:r w:rsidRPr="00377DB9">
        <w:rPr>
          <w:rFonts w:ascii="Times New Roman" w:hAnsi="Times New Roman" w:cs="Times New Roman"/>
          <w:sz w:val="20"/>
        </w:rPr>
        <w:t xml:space="preserve"> headache (6.0%) were the top three common ADRs. Among ADRs with outcome information, 4.7% were fatal. Patient’s age and intravenous medication use largely predicted reporting serious ADRs. </w:t>
      </w:r>
    </w:p>
    <w:p w:rsidR="00377DB9" w:rsidRPr="00377DB9" w:rsidRDefault="00377DB9" w:rsidP="00377DB9">
      <w:pPr>
        <w:jc w:val="both"/>
        <w:rPr>
          <w:rFonts w:ascii="Times New Roman" w:hAnsi="Times New Roman" w:cs="Times New Roman"/>
          <w:sz w:val="20"/>
        </w:rPr>
      </w:pPr>
      <w:r w:rsidRPr="00377DB9">
        <w:rPr>
          <w:rFonts w:ascii="Times New Roman" w:hAnsi="Times New Roman" w:cs="Times New Roman"/>
          <w:b/>
          <w:sz w:val="20"/>
        </w:rPr>
        <w:t>Conclusions:</w:t>
      </w:r>
      <w:r w:rsidRPr="00377DB9">
        <w:rPr>
          <w:rFonts w:ascii="Times New Roman" w:hAnsi="Times New Roman" w:cs="Times New Roman"/>
          <w:sz w:val="20"/>
        </w:rPr>
        <w:t xml:space="preserve"> This study provides contemporary insights into the post-marketing surveillance of drugs in Jordan. The findings are foundational for future studies exploring drug-ADRs causality relationships. Efforts that promote pharmacovigilance concepts should be sustained and enhanced at the national level.</w:t>
      </w:r>
    </w:p>
    <w:p w:rsidR="00377DB9" w:rsidRPr="00377DB9" w:rsidRDefault="00377DB9" w:rsidP="00377DB9">
      <w:pPr>
        <w:rPr>
          <w:rFonts w:ascii="Times New Roman" w:hAnsi="Times New Roman" w:cs="Times New Roman"/>
          <w:b/>
          <w:sz w:val="24"/>
        </w:rPr>
      </w:pPr>
      <w:r w:rsidRPr="00377DB9">
        <w:rPr>
          <w:rFonts w:ascii="Times New Roman" w:hAnsi="Times New Roman" w:cs="Times New Roman"/>
          <w:b/>
          <w:sz w:val="24"/>
        </w:rPr>
        <w:t xml:space="preserve">Biography </w:t>
      </w:r>
    </w:p>
    <w:p w:rsidR="00377DB9" w:rsidRPr="00377DB9" w:rsidRDefault="00377DB9" w:rsidP="00377DB9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377DB9">
        <w:rPr>
          <w:rFonts w:ascii="Times New Roman" w:hAnsi="Times New Roman" w:cs="Times New Roman"/>
          <w:sz w:val="20"/>
        </w:rPr>
        <w:t>Hayaa</w:t>
      </w:r>
      <w:proofErr w:type="spellEnd"/>
      <w:r w:rsidRPr="00377DB9">
        <w:rPr>
          <w:rFonts w:ascii="Times New Roman" w:hAnsi="Times New Roman" w:cs="Times New Roman"/>
          <w:sz w:val="20"/>
        </w:rPr>
        <w:t xml:space="preserve"> Banat</w:t>
      </w:r>
      <w:r w:rsidRPr="00377DB9">
        <w:rPr>
          <w:rFonts w:ascii="Times New Roman" w:hAnsi="Times New Roman" w:cs="Times New Roman"/>
          <w:sz w:val="20"/>
        </w:rPr>
        <w:t xml:space="preserve"> is senior</w:t>
      </w:r>
      <w:r w:rsidRPr="00377DB9">
        <w:rPr>
          <w:rFonts w:ascii="Times New Roman" w:hAnsi="Times New Roman" w:cs="Times New Roman"/>
          <w:sz w:val="20"/>
        </w:rPr>
        <w:t xml:space="preserve"> pharmacovigilance specialist and the Head of Pharmacovigilance Section in JFDA</w:t>
      </w:r>
      <w:r>
        <w:rPr>
          <w:rFonts w:ascii="Times New Roman" w:hAnsi="Times New Roman" w:cs="Times New Roman"/>
          <w:sz w:val="20"/>
        </w:rPr>
        <w:t>,</w:t>
      </w:r>
      <w:r w:rsidRPr="00377DB9">
        <w:rPr>
          <w:rFonts w:ascii="Times New Roman" w:hAnsi="Times New Roman" w:cs="Times New Roman"/>
          <w:sz w:val="20"/>
        </w:rPr>
        <w:t xml:space="preserve"> </w:t>
      </w:r>
      <w:r w:rsidRPr="00377DB9">
        <w:rPr>
          <w:rFonts w:ascii="Times New Roman" w:hAnsi="Times New Roman" w:cs="Times New Roman"/>
          <w:sz w:val="20"/>
        </w:rPr>
        <w:t>Clinical Pharmacist</w:t>
      </w:r>
      <w:r>
        <w:rPr>
          <w:rFonts w:ascii="Times New Roman" w:hAnsi="Times New Roman" w:cs="Times New Roman"/>
          <w:sz w:val="20"/>
        </w:rPr>
        <w:t>.</w:t>
      </w:r>
      <w:r w:rsidRPr="00377DB9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She received her </w:t>
      </w:r>
      <w:proofErr w:type="spellStart"/>
      <w:r>
        <w:rPr>
          <w:rFonts w:ascii="Times New Roman" w:hAnsi="Times New Roman" w:cs="Times New Roman"/>
          <w:sz w:val="20"/>
        </w:rPr>
        <w:t>PharmD</w:t>
      </w:r>
      <w:proofErr w:type="spellEnd"/>
      <w:r w:rsidRPr="00377DB9">
        <w:rPr>
          <w:rFonts w:ascii="Times New Roman" w:hAnsi="Times New Roman" w:cs="Times New Roman"/>
          <w:sz w:val="20"/>
        </w:rPr>
        <w:t xml:space="preserve"> Degree from Jordan University of Science and Technology and is currently working at Jordan food and Drug Administration (JFDA) as the head of pharmacovigilance section. </w:t>
      </w:r>
      <w:r>
        <w:rPr>
          <w:rFonts w:ascii="Times New Roman" w:hAnsi="Times New Roman" w:cs="Times New Roman"/>
          <w:sz w:val="20"/>
        </w:rPr>
        <w:t>She is a</w:t>
      </w:r>
      <w:r w:rsidRPr="00377DB9">
        <w:rPr>
          <w:rFonts w:ascii="Times New Roman" w:hAnsi="Times New Roman" w:cs="Times New Roman"/>
          <w:sz w:val="20"/>
        </w:rPr>
        <w:t xml:space="preserve"> strong advocate of increasing awareness of the importance of rational drug use, Pharmacovigilance and drug safety. </w:t>
      </w:r>
      <w:r>
        <w:rPr>
          <w:rFonts w:ascii="Times New Roman" w:hAnsi="Times New Roman" w:cs="Times New Roman"/>
          <w:sz w:val="20"/>
        </w:rPr>
        <w:t>She</w:t>
      </w:r>
      <w:r w:rsidRPr="00377DB9">
        <w:rPr>
          <w:rFonts w:ascii="Times New Roman" w:hAnsi="Times New Roman" w:cs="Times New Roman"/>
          <w:sz w:val="20"/>
        </w:rPr>
        <w:t xml:space="preserve"> participated in several national and international meetings and conferences regarding Pharmacovigilance, quality use of medicines, effective communication. She has an active role in </w:t>
      </w:r>
      <w:r w:rsidRPr="00377DB9">
        <w:rPr>
          <w:rFonts w:ascii="Times New Roman" w:hAnsi="Times New Roman" w:cs="Times New Roman"/>
          <w:sz w:val="20"/>
        </w:rPr>
        <w:t xml:space="preserve">Risk Management Plan </w:t>
      </w:r>
      <w:r w:rsidRPr="00377DB9">
        <w:rPr>
          <w:rFonts w:ascii="Times New Roman" w:hAnsi="Times New Roman" w:cs="Times New Roman"/>
          <w:sz w:val="20"/>
        </w:rPr>
        <w:t xml:space="preserve">(RMP) evaluation, </w:t>
      </w:r>
      <w:r w:rsidRPr="00377DB9">
        <w:rPr>
          <w:rFonts w:ascii="Times New Roman" w:hAnsi="Times New Roman" w:cs="Times New Roman"/>
          <w:sz w:val="20"/>
        </w:rPr>
        <w:t xml:space="preserve">Risk Minimization Measures </w:t>
      </w:r>
      <w:r w:rsidRPr="00377DB9">
        <w:rPr>
          <w:rFonts w:ascii="Times New Roman" w:hAnsi="Times New Roman" w:cs="Times New Roman"/>
          <w:sz w:val="20"/>
        </w:rPr>
        <w:t xml:space="preserve">(RMM) implementation, patient leaflet updates. </w:t>
      </w:r>
      <w:r>
        <w:rPr>
          <w:rFonts w:ascii="Times New Roman" w:hAnsi="Times New Roman" w:cs="Times New Roman"/>
          <w:sz w:val="20"/>
        </w:rPr>
        <w:t>She</w:t>
      </w:r>
      <w:r w:rsidRPr="00377DB9">
        <w:rPr>
          <w:rFonts w:ascii="Times New Roman" w:hAnsi="Times New Roman" w:cs="Times New Roman"/>
          <w:sz w:val="20"/>
        </w:rPr>
        <w:t xml:space="preserve"> is anxious in encouraging health care providers to build a culture based on patient safety. </w:t>
      </w:r>
      <w:r>
        <w:rPr>
          <w:rFonts w:ascii="Times New Roman" w:hAnsi="Times New Roman" w:cs="Times New Roman"/>
          <w:sz w:val="20"/>
        </w:rPr>
        <w:t>She h</w:t>
      </w:r>
      <w:r w:rsidRPr="00377DB9">
        <w:rPr>
          <w:rFonts w:ascii="Times New Roman" w:hAnsi="Times New Roman" w:cs="Times New Roman"/>
          <w:sz w:val="20"/>
        </w:rPr>
        <w:t xml:space="preserve">as a good experience in clinical practice mainly in </w:t>
      </w:r>
      <w:r w:rsidRPr="00377DB9">
        <w:rPr>
          <w:rFonts w:ascii="Times New Roman" w:hAnsi="Times New Roman" w:cs="Times New Roman"/>
          <w:sz w:val="20"/>
        </w:rPr>
        <w:t>Critical Care Units</w:t>
      </w:r>
      <w:r w:rsidRPr="00377DB9">
        <w:rPr>
          <w:rFonts w:ascii="Times New Roman" w:hAnsi="Times New Roman" w:cs="Times New Roman"/>
          <w:sz w:val="20"/>
        </w:rPr>
        <w:t xml:space="preserve"> (ICU, CCU) as she worked as a clinical pharmacist in two of the biggest hospitals in Jordan, King Hussein Cancer Center and Jordan university Hospital.</w:t>
      </w:r>
    </w:p>
    <w:sectPr w:rsidR="00377DB9" w:rsidRPr="00377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DB9"/>
    <w:rsid w:val="0032354D"/>
    <w:rsid w:val="00377DB9"/>
    <w:rsid w:val="00474203"/>
    <w:rsid w:val="00535872"/>
    <w:rsid w:val="005C50B7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2023-06-15T11:56:00Z</dcterms:created>
  <dcterms:modified xsi:type="dcterms:W3CDTF">2023-06-15T12:21:00Z</dcterms:modified>
</cp:coreProperties>
</file>