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BEF" w:rsidRPr="00733BEF" w:rsidRDefault="00733BEF" w:rsidP="00733BEF">
      <w:pPr>
        <w:pStyle w:val="Header"/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en-US"/>
        </w:rPr>
      </w:pPr>
      <w:bookmarkStart w:id="0" w:name="_GoBack"/>
      <w:bookmarkEnd w:id="0"/>
      <w:r w:rsidRPr="00733BEF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lang w:val="en-US"/>
        </w:rPr>
        <w:t>Vaccine Safety in Pharmacovigilance</w:t>
      </w:r>
    </w:p>
    <w:p w:rsidR="00733BEF" w:rsidRPr="00733BEF" w:rsidRDefault="00733BEF" w:rsidP="008716E8">
      <w:pPr>
        <w:jc w:val="both"/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Snigdha</w:t>
      </w:r>
      <w:proofErr w:type="spellEnd"/>
      <w:r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S</w:t>
      </w:r>
      <w:r w:rsidRPr="00733BEF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ingh</w:t>
      </w:r>
      <w:r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Assistant Professor, Lloyd Institute, India</w:t>
      </w:r>
    </w:p>
    <w:p w:rsidR="002B61CF" w:rsidRPr="008716E8" w:rsidRDefault="00F05BB1" w:rsidP="008716E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16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term </w:t>
      </w:r>
      <w:r w:rsidRPr="008716E8">
        <w:rPr>
          <w:rStyle w:val="Strong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vaccine pharmacovigilance</w:t>
      </w:r>
      <w:r w:rsidRPr="008716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defines the science and activities related to the detection, assessment, understanding and communication of adverse events following immunization (AEFI) and other vaccine-related or immunization-related issues, and to the prevention of untoward effects of the vaccine or immunization. The etymological roots for the word "</w:t>
      </w:r>
      <w:proofErr w:type="spellStart"/>
      <w:r w:rsidRPr="008716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pharmacovigilance</w:t>
      </w:r>
      <w:proofErr w:type="spellEnd"/>
      <w:r w:rsidRPr="008716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" are: </w:t>
      </w:r>
      <w:proofErr w:type="spellStart"/>
      <w:r w:rsidRPr="008716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pharmakon</w:t>
      </w:r>
      <w:proofErr w:type="spellEnd"/>
      <w:r w:rsidRPr="008716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</w:t>
      </w:r>
      <w:proofErr w:type="spellStart"/>
      <w:r w:rsidRPr="008716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vigilare</w:t>
      </w:r>
      <w:proofErr w:type="spellEnd"/>
      <w:r w:rsidRPr="008716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 </w:t>
      </w:r>
      <w:proofErr w:type="spellStart"/>
      <w:r w:rsidRPr="008716E8">
        <w:rPr>
          <w:rFonts w:ascii="Times New Roman" w:hAnsi="Times New Roman" w:cs="Times New Roman"/>
          <w:color w:val="000000" w:themeColor="text1"/>
          <w:sz w:val="24"/>
          <w:szCs w:val="24"/>
        </w:rPr>
        <w:t>Pharmacovigilance</w:t>
      </w:r>
      <w:proofErr w:type="spellEnd"/>
      <w:r w:rsidRPr="008716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plays a crucial role in ensuring the safety and efficacy of vaccines. Vaccines are complex biological products, and their safety cannot be guaranteed solely through clinical trials. Therefore, post-marketing surveillance through pharmacovigilance is essential for monitoring the safety of vaccines. </w:t>
      </w:r>
      <w:r w:rsidRPr="008716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Loss of confidence in the safety of vaccines threatens the continued success of immunization programs. </w:t>
      </w:r>
      <w:r w:rsidRPr="008716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Pharmacovigilance helps to identify and assess the risks associated with vaccines, including rare adverse events that may not have been detected in clinical trials. It also plays a critical role in detecting and managing any potential safety signals, such as an increase in adverse events following vaccination. </w:t>
      </w:r>
      <w:r w:rsidR="00F10290">
        <w:rPr>
          <w:rFonts w:ascii="Times New Roman" w:hAnsi="Times New Roman" w:cs="Times New Roman"/>
          <w:color w:val="000000" w:themeColor="text1"/>
          <w:sz w:val="24"/>
          <w:szCs w:val="24"/>
        </w:rPr>
        <w:t>Healthcare</w:t>
      </w:r>
      <w:r w:rsidR="004116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professionals and </w:t>
      </w:r>
      <w:r w:rsidR="00F10290">
        <w:rPr>
          <w:rFonts w:ascii="Times New Roman" w:hAnsi="Times New Roman" w:cs="Times New Roman"/>
          <w:color w:val="000000" w:themeColor="text1"/>
          <w:sz w:val="24"/>
          <w:szCs w:val="24"/>
        </w:rPr>
        <w:t>patients</w:t>
      </w:r>
      <w:r w:rsidR="004116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should be encouraged to report any AE following vaccination. Reporting </w:t>
      </w:r>
      <w:r w:rsidR="00003E28">
        <w:rPr>
          <w:rFonts w:ascii="Times New Roman" w:hAnsi="Times New Roman" w:cs="Times New Roman"/>
          <w:color w:val="000000" w:themeColor="text1"/>
          <w:sz w:val="24"/>
          <w:szCs w:val="24"/>
        </w:rPr>
        <w:t>system should</w:t>
      </w:r>
      <w:r w:rsidR="004116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 user friendly, easily accessible and provide feedba</w:t>
      </w:r>
      <w:r w:rsidR="00003E28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4116B2">
        <w:rPr>
          <w:rFonts w:ascii="Times New Roman" w:hAnsi="Times New Roman" w:cs="Times New Roman"/>
          <w:color w:val="000000" w:themeColor="text1"/>
          <w:sz w:val="24"/>
          <w:szCs w:val="24"/>
        </w:rPr>
        <w:t>k.</w:t>
      </w:r>
      <w:r w:rsidR="005C1F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Monitoring vaccine safety beyond the initial rollout is increasingly important. Long-term studies and surveillance systems are necessary to assess safety profile of vaccine over extended period of time including potential and rare adverse events.</w:t>
      </w:r>
    </w:p>
    <w:p w:rsidR="00F05BB1" w:rsidRPr="008716E8" w:rsidRDefault="00733BEF" w:rsidP="00733BEF">
      <w:pPr>
        <w:jc w:val="center"/>
        <w:rPr>
          <w:color w:val="000000" w:themeColor="text1"/>
        </w:rPr>
      </w:pPr>
      <w:r>
        <w:rPr>
          <w:noProof/>
          <w:color w:val="000000" w:themeColor="text1"/>
          <w:lang w:eastAsia="en-IN"/>
        </w:rPr>
        <w:drawing>
          <wp:inline distT="0" distB="0" distL="0" distR="0">
            <wp:extent cx="2809875" cy="2847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5BB1" w:rsidRPr="008716E8" w:rsidRDefault="00F05BB1" w:rsidP="00F05BB1">
      <w:pPr>
        <w:rPr>
          <w:color w:val="000000" w:themeColor="text1"/>
        </w:rPr>
      </w:pPr>
    </w:p>
    <w:p w:rsidR="00F05BB1" w:rsidRPr="00C82FEA" w:rsidRDefault="008716E8" w:rsidP="00F05BB1">
      <w:pPr>
        <w:rPr>
          <w:rFonts w:ascii="Times New Roman" w:hAnsi="Times New Roman" w:cs="Times New Roman"/>
          <w:color w:val="000000" w:themeColor="text1"/>
          <w:sz w:val="20"/>
        </w:rPr>
      </w:pPr>
      <w:r w:rsidRPr="00C82FEA">
        <w:rPr>
          <w:rFonts w:ascii="Times New Roman" w:hAnsi="Times New Roman" w:cs="Times New Roman"/>
          <w:color w:val="000000" w:themeColor="text1"/>
          <w:sz w:val="20"/>
        </w:rPr>
        <w:t>References:</w:t>
      </w:r>
    </w:p>
    <w:p w:rsidR="00F05BB1" w:rsidRPr="008716E8" w:rsidRDefault="008716E8" w:rsidP="008716E8">
      <w:pPr>
        <w:pStyle w:val="NoSpacing"/>
        <w:rPr>
          <w:rFonts w:ascii="Times New Roman" w:hAnsi="Times New Roman" w:cs="Times New Roman"/>
          <w:bCs/>
          <w:sz w:val="20"/>
          <w:szCs w:val="20"/>
        </w:rPr>
      </w:pPr>
      <w:r w:rsidRPr="008716E8">
        <w:rPr>
          <w:rFonts w:ascii="Times New Roman" w:hAnsi="Times New Roman" w:cs="Times New Roman"/>
          <w:sz w:val="20"/>
          <w:szCs w:val="20"/>
        </w:rPr>
        <w:t>1.0</w:t>
      </w:r>
      <w:r w:rsidR="00F05BB1" w:rsidRPr="008716E8">
        <w:rPr>
          <w:rFonts w:ascii="Times New Roman" w:hAnsi="Times New Roman" w:cs="Times New Roman"/>
          <w:sz w:val="20"/>
          <w:szCs w:val="20"/>
        </w:rPr>
        <w:t>American journal of drug delivery, Prime scholars.com</w:t>
      </w:r>
      <w:r w:rsidRPr="008716E8">
        <w:rPr>
          <w:rFonts w:ascii="Times New Roman" w:hAnsi="Times New Roman" w:cs="Times New Roman"/>
          <w:sz w:val="20"/>
          <w:szCs w:val="20"/>
        </w:rPr>
        <w:t xml:space="preserve"> </w:t>
      </w:r>
      <w:r w:rsidR="00F05BB1" w:rsidRPr="008716E8">
        <w:rPr>
          <w:rFonts w:ascii="Times New Roman" w:hAnsi="Times New Roman" w:cs="Times New Roman"/>
          <w:bCs/>
          <w:sz w:val="20"/>
          <w:szCs w:val="20"/>
        </w:rPr>
        <w:t>Pharmacovigilance &amp; Drug Safety 2020</w:t>
      </w:r>
    </w:p>
    <w:p w:rsidR="00F05BB1" w:rsidRPr="008716E8" w:rsidRDefault="008716E8" w:rsidP="008716E8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8716E8">
        <w:rPr>
          <w:rFonts w:ascii="Times New Roman" w:hAnsi="Times New Roman" w:cs="Times New Roman"/>
          <w:sz w:val="20"/>
          <w:szCs w:val="20"/>
        </w:rPr>
        <w:t>2.0</w:t>
      </w:r>
      <w:hyperlink r:id="rId9" w:history="1">
        <w:r w:rsidRPr="008716E8">
          <w:rPr>
            <w:rStyle w:val="Hyperlink"/>
            <w:rFonts w:ascii="Times New Roman" w:hAnsi="Times New Roman" w:cs="Times New Roman"/>
            <w:color w:val="000000" w:themeColor="text1"/>
            <w:sz w:val="20"/>
            <w:szCs w:val="20"/>
            <w:u w:val="none"/>
          </w:rPr>
          <w:t>https://www.canada.ca/en/public-health/services/publications/healthy-living/canadian-immunization-guide-part-2-vaccine-safety/page-2-vaccine-safety.html</w:t>
        </w:r>
      </w:hyperlink>
    </w:p>
    <w:p w:rsidR="008716E8" w:rsidRDefault="008716E8" w:rsidP="008716E8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8716E8">
        <w:rPr>
          <w:rFonts w:ascii="Times New Roman" w:hAnsi="Times New Roman" w:cs="Times New Roman"/>
          <w:sz w:val="20"/>
          <w:szCs w:val="20"/>
        </w:rPr>
        <w:t>3.0https://www.ncbi.nlm.nih.gov/pmc/articles/PMC6759530/</w:t>
      </w:r>
    </w:p>
    <w:p w:rsidR="00733BEF" w:rsidRDefault="009F709D" w:rsidP="008716E8">
      <w:pPr>
        <w:pStyle w:val="NoSpacing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4.</w:t>
      </w:r>
      <w:r w:rsidR="00733BEF" w:rsidRPr="00733BEF">
        <w:rPr>
          <w:rFonts w:ascii="Times New Roman" w:hAnsi="Times New Roman" w:cs="Times New Roman"/>
          <w:sz w:val="20"/>
          <w:szCs w:val="20"/>
        </w:rPr>
        <w:t>https</w:t>
      </w:r>
      <w:proofErr w:type="gramEnd"/>
      <w:r w:rsidR="00733BEF" w:rsidRPr="00733BEF">
        <w:rPr>
          <w:rFonts w:ascii="Times New Roman" w:hAnsi="Times New Roman" w:cs="Times New Roman"/>
          <w:sz w:val="20"/>
          <w:szCs w:val="20"/>
        </w:rPr>
        <w:t>://www.apcerls.com/pharmacovigilance-services-for-vaccines/</w:t>
      </w:r>
    </w:p>
    <w:p w:rsidR="00733BEF" w:rsidRDefault="00733BEF" w:rsidP="008716E8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733BEF" w:rsidRDefault="00733BEF" w:rsidP="008716E8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733BEF" w:rsidRDefault="00733BEF" w:rsidP="00733BEF">
      <w:pPr>
        <w:pStyle w:val="BodyText"/>
        <w:rPr>
          <w:rFonts w:ascii="Calibri"/>
          <w:sz w:val="20"/>
        </w:rPr>
      </w:pPr>
    </w:p>
    <w:p w:rsidR="00733BEF" w:rsidRDefault="00733BEF" w:rsidP="00733BEF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2A2084C" wp14:editId="0D25175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3CBD34A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733BEF" w:rsidRDefault="00733BEF" w:rsidP="00733BEF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6D0B0B">
        <w:rPr>
          <w:noProof/>
          <w:lang w:eastAsia="en-IN"/>
        </w:rPr>
        <w:drawing>
          <wp:inline distT="0" distB="0" distL="0" distR="0">
            <wp:extent cx="514350" cy="622756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349" cy="63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 xml:space="preserve"> </w:t>
      </w:r>
    </w:p>
    <w:p w:rsidR="00733BEF" w:rsidRPr="00733BEF" w:rsidRDefault="00733BEF" w:rsidP="00733BEF">
      <w:pPr>
        <w:pStyle w:val="NormalWeb"/>
        <w:shd w:val="clear" w:color="auto" w:fill="FFFFFF"/>
        <w:spacing w:after="0" w:afterAutospacing="0" w:line="174" w:lineRule="atLeast"/>
        <w:jc w:val="both"/>
        <w:rPr>
          <w:color w:val="222222"/>
          <w:sz w:val="18"/>
          <w:szCs w:val="18"/>
        </w:rPr>
      </w:pPr>
      <w:r w:rsidRPr="00733BEF">
        <w:rPr>
          <w:sz w:val="18"/>
          <w:szCs w:val="18"/>
        </w:rPr>
        <w:t xml:space="preserve">Ms. </w:t>
      </w:r>
      <w:proofErr w:type="spellStart"/>
      <w:r w:rsidRPr="00733BEF">
        <w:rPr>
          <w:sz w:val="18"/>
          <w:szCs w:val="18"/>
        </w:rPr>
        <w:t>Snigdha</w:t>
      </w:r>
      <w:proofErr w:type="spellEnd"/>
      <w:r w:rsidRPr="00733BEF">
        <w:rPr>
          <w:sz w:val="18"/>
          <w:szCs w:val="18"/>
        </w:rPr>
        <w:t xml:space="preserve"> Singh </w:t>
      </w:r>
      <w:r w:rsidRPr="00733BEF">
        <w:rPr>
          <w:color w:val="222222"/>
          <w:sz w:val="18"/>
          <w:szCs w:val="18"/>
        </w:rPr>
        <w:t>collective experience of over six years in R&amp;D Injectable in Analytical Research Development (ARD) and Development Quality Assurance (DQA). She has worked as compliance officer in ACL (Peptide characterization Laboratory &amp; Extractable and Leachable). Currently working as an Assistant Professor</w:t>
      </w:r>
    </w:p>
    <w:p w:rsidR="00733BEF" w:rsidRDefault="00733BEF" w:rsidP="00C82FEA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 ssnigdhavit@yahoo.com</w:t>
      </w:r>
    </w:p>
    <w:p w:rsidR="00733BEF" w:rsidRDefault="00733BEF" w:rsidP="00733BEF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C50F222" wp14:editId="5865E34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A0DE8AA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733BEF" w:rsidRDefault="00733BEF" w:rsidP="00733BEF">
      <w:pPr>
        <w:pStyle w:val="BodyText"/>
        <w:rPr>
          <w:rFonts w:ascii="Arial"/>
          <w:sz w:val="20"/>
        </w:rPr>
      </w:pPr>
    </w:p>
    <w:p w:rsidR="00733BEF" w:rsidRDefault="00733BEF" w:rsidP="00733BEF">
      <w:pPr>
        <w:pStyle w:val="BodyText"/>
        <w:rPr>
          <w:rFonts w:ascii="Arial"/>
          <w:sz w:val="20"/>
        </w:rPr>
      </w:pPr>
    </w:p>
    <w:p w:rsidR="00733BEF" w:rsidRDefault="00733BEF" w:rsidP="00733BEF">
      <w:pPr>
        <w:pStyle w:val="BodyText"/>
        <w:spacing w:before="7"/>
        <w:rPr>
          <w:rFonts w:ascii="Arial"/>
          <w:sz w:val="29"/>
        </w:rPr>
      </w:pPr>
    </w:p>
    <w:p w:rsidR="006D0B0B" w:rsidRPr="006D0B0B" w:rsidRDefault="006D0B0B" w:rsidP="006D0B0B">
      <w:pPr>
        <w:pStyle w:val="BodyText"/>
        <w:rPr>
          <w:rFonts w:ascii="Times New Roman" w:hAnsi="Times New Roman" w:cs="Times New Roman"/>
        </w:rPr>
      </w:pPr>
      <w:r w:rsidRPr="006D0B0B">
        <w:rPr>
          <w:rFonts w:ascii="Times New Roman" w:hAnsi="Times New Roman" w:cs="Times New Roman"/>
        </w:rPr>
        <w:t xml:space="preserve">Full name: </w:t>
      </w:r>
      <w:proofErr w:type="spellStart"/>
      <w:r w:rsidRPr="006D0B0B">
        <w:rPr>
          <w:rFonts w:ascii="Times New Roman" w:hAnsi="Times New Roman" w:cs="Times New Roman"/>
        </w:rPr>
        <w:t>Snigdha</w:t>
      </w:r>
      <w:proofErr w:type="spellEnd"/>
    </w:p>
    <w:p w:rsidR="006D0B0B" w:rsidRPr="006D0B0B" w:rsidRDefault="006D0B0B" w:rsidP="006D0B0B">
      <w:pPr>
        <w:pStyle w:val="BodyText"/>
        <w:rPr>
          <w:rFonts w:ascii="Times New Roman" w:hAnsi="Times New Roman" w:cs="Times New Roman"/>
        </w:rPr>
      </w:pPr>
      <w:r w:rsidRPr="006D0B0B">
        <w:rPr>
          <w:rFonts w:ascii="Times New Roman" w:hAnsi="Times New Roman" w:cs="Times New Roman"/>
        </w:rPr>
        <w:t>Contact number: +91 9882342870</w:t>
      </w:r>
    </w:p>
    <w:p w:rsidR="006D0B0B" w:rsidRPr="006D0B0B" w:rsidRDefault="006D0B0B" w:rsidP="006D0B0B">
      <w:pPr>
        <w:pStyle w:val="BodyText"/>
        <w:rPr>
          <w:rFonts w:ascii="Times New Roman" w:hAnsi="Times New Roman" w:cs="Times New Roman"/>
        </w:rPr>
      </w:pPr>
      <w:r w:rsidRPr="006D0B0B">
        <w:rPr>
          <w:rFonts w:ascii="Times New Roman" w:hAnsi="Times New Roman" w:cs="Times New Roman"/>
        </w:rPr>
        <w:t>Mail id: ssnigdhavit@yahoo.com</w:t>
      </w:r>
    </w:p>
    <w:p w:rsidR="006D0B0B" w:rsidRPr="006D0B0B" w:rsidRDefault="006D0B0B" w:rsidP="006D0B0B">
      <w:pPr>
        <w:pStyle w:val="BodyText"/>
        <w:rPr>
          <w:rFonts w:ascii="Times New Roman" w:hAnsi="Times New Roman" w:cs="Times New Roman"/>
        </w:rPr>
      </w:pPr>
      <w:r w:rsidRPr="006D0B0B">
        <w:rPr>
          <w:rFonts w:ascii="Times New Roman" w:hAnsi="Times New Roman" w:cs="Times New Roman"/>
        </w:rPr>
        <w:t xml:space="preserve">Category: (Oral presentation/ Poster presentation) </w:t>
      </w:r>
    </w:p>
    <w:p w:rsidR="00733BEF" w:rsidRPr="006D0B0B" w:rsidRDefault="00733BEF" w:rsidP="006D0B0B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:rsidR="00F05BB1" w:rsidRPr="008716E8" w:rsidRDefault="00F05BB1" w:rsidP="00F05BB1">
      <w:pPr>
        <w:rPr>
          <w:color w:val="000000" w:themeColor="text1"/>
        </w:rPr>
      </w:pPr>
    </w:p>
    <w:sectPr w:rsidR="00F05BB1" w:rsidRPr="008716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BC7" w:rsidRDefault="00A84BC7" w:rsidP="008716E8">
      <w:pPr>
        <w:spacing w:after="0" w:line="240" w:lineRule="auto"/>
      </w:pPr>
      <w:r>
        <w:separator/>
      </w:r>
    </w:p>
  </w:endnote>
  <w:endnote w:type="continuationSeparator" w:id="0">
    <w:p w:rsidR="00A84BC7" w:rsidRDefault="00A84BC7" w:rsidP="00871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BC7" w:rsidRDefault="00A84BC7" w:rsidP="008716E8">
      <w:pPr>
        <w:spacing w:after="0" w:line="240" w:lineRule="auto"/>
      </w:pPr>
      <w:r>
        <w:separator/>
      </w:r>
    </w:p>
  </w:footnote>
  <w:footnote w:type="continuationSeparator" w:id="0">
    <w:p w:rsidR="00A84BC7" w:rsidRDefault="00A84BC7" w:rsidP="008716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3D4"/>
    <w:rsid w:val="00003E28"/>
    <w:rsid w:val="000313D4"/>
    <w:rsid w:val="00190007"/>
    <w:rsid w:val="002B61CF"/>
    <w:rsid w:val="004116B2"/>
    <w:rsid w:val="005C1F1C"/>
    <w:rsid w:val="006D0B0B"/>
    <w:rsid w:val="00732F32"/>
    <w:rsid w:val="00733BEF"/>
    <w:rsid w:val="008716E8"/>
    <w:rsid w:val="009F709D"/>
    <w:rsid w:val="00A84BC7"/>
    <w:rsid w:val="00C31CB4"/>
    <w:rsid w:val="00C82FEA"/>
    <w:rsid w:val="00C84DA4"/>
    <w:rsid w:val="00CE356E"/>
    <w:rsid w:val="00F05BB1"/>
    <w:rsid w:val="00F1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BEF"/>
  </w:style>
  <w:style w:type="paragraph" w:styleId="Heading1">
    <w:name w:val="heading 1"/>
    <w:basedOn w:val="Normal"/>
    <w:next w:val="Normal"/>
    <w:link w:val="Heading1Char"/>
    <w:uiPriority w:val="9"/>
    <w:qFormat/>
    <w:rsid w:val="00733B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B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B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B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BE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BE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BE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BE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BE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BE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BE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733BEF"/>
    <w:rPr>
      <w:b/>
      <w:bCs/>
    </w:rPr>
  </w:style>
  <w:style w:type="character" w:styleId="Hyperlink">
    <w:name w:val="Hyperlink"/>
    <w:basedOn w:val="DefaultParagraphFont"/>
    <w:uiPriority w:val="99"/>
    <w:unhideWhenUsed/>
    <w:rsid w:val="008716E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716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6E8"/>
  </w:style>
  <w:style w:type="paragraph" w:styleId="Footer">
    <w:name w:val="footer"/>
    <w:basedOn w:val="Normal"/>
    <w:link w:val="FooterChar"/>
    <w:uiPriority w:val="99"/>
    <w:unhideWhenUsed/>
    <w:rsid w:val="008716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6E8"/>
  </w:style>
  <w:style w:type="paragraph" w:styleId="NoSpacing">
    <w:name w:val="No Spacing"/>
    <w:uiPriority w:val="1"/>
    <w:qFormat/>
    <w:rsid w:val="00733BEF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33BEF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BEF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BE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BE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B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BEF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BE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33BEF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33BE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33BEF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BEF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33BE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33BEF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733BE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33BEF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BEF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BEF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733BE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33BEF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33BEF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33BEF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33BE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33BEF"/>
    <w:pPr>
      <w:outlineLvl w:val="9"/>
    </w:pPr>
  </w:style>
  <w:style w:type="paragraph" w:styleId="BodyText">
    <w:name w:val="Body Text"/>
    <w:basedOn w:val="Normal"/>
    <w:link w:val="BodyTextChar"/>
    <w:uiPriority w:val="1"/>
    <w:qFormat/>
    <w:rsid w:val="00733BE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33BEF"/>
    <w:rPr>
      <w:rFonts w:ascii="Tw Cen MT" w:eastAsia="Tw Cen MT" w:hAnsi="Tw Cen MT" w:cs="Tw Cen MT"/>
      <w:sz w:val="18"/>
      <w:szCs w:val="18"/>
      <w:lang w:val="en-US"/>
    </w:rPr>
  </w:style>
  <w:style w:type="paragraph" w:styleId="NormalWeb">
    <w:name w:val="Normal (Web)"/>
    <w:basedOn w:val="Normal"/>
    <w:uiPriority w:val="99"/>
    <w:semiHidden/>
    <w:unhideWhenUsed/>
    <w:rsid w:val="00733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C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BEF"/>
  </w:style>
  <w:style w:type="paragraph" w:styleId="Heading1">
    <w:name w:val="heading 1"/>
    <w:basedOn w:val="Normal"/>
    <w:next w:val="Normal"/>
    <w:link w:val="Heading1Char"/>
    <w:uiPriority w:val="9"/>
    <w:qFormat/>
    <w:rsid w:val="00733B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B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B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B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BE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BE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BE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BE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BE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BE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BE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733BEF"/>
    <w:rPr>
      <w:b/>
      <w:bCs/>
    </w:rPr>
  </w:style>
  <w:style w:type="character" w:styleId="Hyperlink">
    <w:name w:val="Hyperlink"/>
    <w:basedOn w:val="DefaultParagraphFont"/>
    <w:uiPriority w:val="99"/>
    <w:unhideWhenUsed/>
    <w:rsid w:val="008716E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716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6E8"/>
  </w:style>
  <w:style w:type="paragraph" w:styleId="Footer">
    <w:name w:val="footer"/>
    <w:basedOn w:val="Normal"/>
    <w:link w:val="FooterChar"/>
    <w:uiPriority w:val="99"/>
    <w:unhideWhenUsed/>
    <w:rsid w:val="008716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6E8"/>
  </w:style>
  <w:style w:type="paragraph" w:styleId="NoSpacing">
    <w:name w:val="No Spacing"/>
    <w:uiPriority w:val="1"/>
    <w:qFormat/>
    <w:rsid w:val="00733BEF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33BEF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BEF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BE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BE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B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BEF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BE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33BEF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33BE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33BEF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BEF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33BE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33BEF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733BE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33BEF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BEF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BEF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733BE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33BEF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33BEF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33BEF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33BE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33BEF"/>
    <w:pPr>
      <w:outlineLvl w:val="9"/>
    </w:pPr>
  </w:style>
  <w:style w:type="paragraph" w:styleId="BodyText">
    <w:name w:val="Body Text"/>
    <w:basedOn w:val="Normal"/>
    <w:link w:val="BodyTextChar"/>
    <w:uiPriority w:val="1"/>
    <w:qFormat/>
    <w:rsid w:val="00733BE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33BEF"/>
    <w:rPr>
      <w:rFonts w:ascii="Tw Cen MT" w:eastAsia="Tw Cen MT" w:hAnsi="Tw Cen MT" w:cs="Tw Cen MT"/>
      <w:sz w:val="18"/>
      <w:szCs w:val="18"/>
      <w:lang w:val="en-US"/>
    </w:rPr>
  </w:style>
  <w:style w:type="paragraph" w:styleId="NormalWeb">
    <w:name w:val="Normal (Web)"/>
    <w:basedOn w:val="Normal"/>
    <w:uiPriority w:val="99"/>
    <w:semiHidden/>
    <w:unhideWhenUsed/>
    <w:rsid w:val="00733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C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4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canada.ca/en/public-health/services/publications/healthy-living/canadian-immunization-guide-part-2-vaccine-safety/page-2-vaccine-safet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853C6-CDE9-4FC7-BAA2-44C95FDE1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Industrial Chemistry 2022</cp:lastModifiedBy>
  <cp:revision>2</cp:revision>
  <dcterms:created xsi:type="dcterms:W3CDTF">2023-05-17T06:38:00Z</dcterms:created>
  <dcterms:modified xsi:type="dcterms:W3CDTF">2023-05-17T06:38:00Z</dcterms:modified>
</cp:coreProperties>
</file>