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302F">
      <w:pPr>
        <w:rPr>
          <w:rFonts w:ascii="Times New Roman" w:hAnsi="Times New Roman" w:cs="Times New Roman"/>
          <w:b/>
          <w:sz w:val="32"/>
        </w:rPr>
      </w:pPr>
      <w:bookmarkStart w:id="0" w:name="_GoBack"/>
      <w:r w:rsidRPr="00DE302F">
        <w:rPr>
          <w:rFonts w:ascii="Times New Roman" w:hAnsi="Times New Roman" w:cs="Times New Roman"/>
          <w:b/>
          <w:sz w:val="32"/>
        </w:rPr>
        <w:t xml:space="preserve">Pharmacokinetics of intradermal administration of Recombinant Human Growth Hormone (RHGH) using </w:t>
      </w:r>
      <w:proofErr w:type="spellStart"/>
      <w:r w:rsidRPr="00DE302F">
        <w:rPr>
          <w:rFonts w:ascii="Times New Roman" w:hAnsi="Times New Roman" w:cs="Times New Roman"/>
          <w:b/>
          <w:sz w:val="32"/>
        </w:rPr>
        <w:t>microneedle</w:t>
      </w:r>
      <w:proofErr w:type="spellEnd"/>
      <w:r w:rsidRPr="00DE302F">
        <w:rPr>
          <w:rFonts w:ascii="Times New Roman" w:hAnsi="Times New Roman" w:cs="Times New Roman"/>
          <w:b/>
          <w:sz w:val="32"/>
        </w:rPr>
        <w:t xml:space="preserve"> delivery system and its comparison with intramuscular administration as well as intradermal administration using conventional needle: A preclinical study</w:t>
      </w:r>
    </w:p>
    <w:p w:rsidR="00DE302F" w:rsidRDefault="00DE302F">
      <w:pPr>
        <w:rPr>
          <w:rFonts w:ascii="Times New Roman" w:hAnsi="Times New Roman" w:cs="Times New Roman"/>
          <w:sz w:val="24"/>
        </w:rPr>
      </w:pPr>
      <w:proofErr w:type="spellStart"/>
      <w:r w:rsidRPr="00DE302F">
        <w:rPr>
          <w:rFonts w:ascii="Times New Roman" w:hAnsi="Times New Roman" w:cs="Times New Roman"/>
          <w:sz w:val="24"/>
        </w:rPr>
        <w:t>Bajwa</w:t>
      </w:r>
      <w:proofErr w:type="spellEnd"/>
      <w:r w:rsidRPr="00DE302F">
        <w:rPr>
          <w:rFonts w:ascii="Times New Roman" w:hAnsi="Times New Roman" w:cs="Times New Roman"/>
          <w:sz w:val="24"/>
        </w:rPr>
        <w:t xml:space="preserve"> </w:t>
      </w:r>
      <w:proofErr w:type="spellStart"/>
      <w:r w:rsidRPr="00DE302F">
        <w:rPr>
          <w:rFonts w:ascii="Times New Roman" w:hAnsi="Times New Roman" w:cs="Times New Roman"/>
          <w:sz w:val="24"/>
        </w:rPr>
        <w:t>Ishumeet</w:t>
      </w:r>
      <w:proofErr w:type="spellEnd"/>
      <w:r w:rsidRPr="00DE302F">
        <w:rPr>
          <w:rFonts w:ascii="Times New Roman" w:hAnsi="Times New Roman" w:cs="Times New Roman"/>
          <w:sz w:val="24"/>
        </w:rPr>
        <w:t xml:space="preserve"> K</w:t>
      </w:r>
    </w:p>
    <w:p w:rsidR="00DE302F" w:rsidRPr="00DE302F" w:rsidRDefault="00DE302F">
      <w:pPr>
        <w:rPr>
          <w:rFonts w:ascii="Times New Roman" w:hAnsi="Times New Roman" w:cs="Times New Roman"/>
        </w:rPr>
      </w:pPr>
      <w:r w:rsidRPr="00DE302F">
        <w:rPr>
          <w:rFonts w:ascii="Times New Roman" w:hAnsi="Times New Roman" w:cs="Times New Roman"/>
        </w:rPr>
        <w:t>Post Graduate Institute of Medical Education &amp; Research, India</w:t>
      </w:r>
    </w:p>
    <w:p w:rsidR="00DE302F" w:rsidRPr="00DE302F" w:rsidRDefault="00DE302F" w:rsidP="00DE302F">
      <w:pPr>
        <w:jc w:val="center"/>
        <w:rPr>
          <w:rFonts w:ascii="Times New Roman" w:hAnsi="Times New Roman" w:cs="Times New Roman"/>
          <w:b/>
          <w:sz w:val="24"/>
        </w:rPr>
      </w:pPr>
      <w:r w:rsidRPr="00DE302F">
        <w:rPr>
          <w:rFonts w:ascii="Times New Roman" w:hAnsi="Times New Roman" w:cs="Times New Roman"/>
          <w:b/>
          <w:sz w:val="24"/>
        </w:rPr>
        <w:t>Abstract</w:t>
      </w:r>
    </w:p>
    <w:p w:rsidR="00DE302F" w:rsidRPr="00DE302F" w:rsidRDefault="00DE302F" w:rsidP="00DE302F">
      <w:pPr>
        <w:jc w:val="both"/>
        <w:rPr>
          <w:rFonts w:ascii="Times New Roman" w:hAnsi="Times New Roman" w:cs="Times New Roman"/>
          <w:sz w:val="20"/>
        </w:rPr>
      </w:pPr>
      <w:r w:rsidRPr="00DE302F">
        <w:rPr>
          <w:rFonts w:ascii="Times New Roman" w:hAnsi="Times New Roman" w:cs="Times New Roman"/>
          <w:b/>
          <w:sz w:val="20"/>
        </w:rPr>
        <w:t>Statement of the problem:</w:t>
      </w:r>
      <w:r w:rsidRPr="00DE302F">
        <w:rPr>
          <w:rFonts w:ascii="Times New Roman" w:hAnsi="Times New Roman" w:cs="Times New Roman"/>
          <w:sz w:val="20"/>
        </w:rPr>
        <w:t xml:space="preserve"> </w:t>
      </w:r>
      <w:proofErr w:type="spellStart"/>
      <w:r w:rsidRPr="00DE302F">
        <w:rPr>
          <w:rFonts w:ascii="Times New Roman" w:hAnsi="Times New Roman" w:cs="Times New Roman"/>
          <w:sz w:val="20"/>
        </w:rPr>
        <w:t>Microneedles</w:t>
      </w:r>
      <w:proofErr w:type="spellEnd"/>
      <w:r w:rsidRPr="00DE302F">
        <w:rPr>
          <w:rFonts w:ascii="Times New Roman" w:hAnsi="Times New Roman" w:cs="Times New Roman"/>
          <w:sz w:val="20"/>
        </w:rPr>
        <w:t xml:space="preserve"> facilitate drug delivery into the dermis layer of skin, with minimum pain. To study the safety and efficacy of indigenously developed </w:t>
      </w:r>
      <w:proofErr w:type="spellStart"/>
      <w:r w:rsidRPr="00DE302F">
        <w:rPr>
          <w:rFonts w:ascii="Times New Roman" w:hAnsi="Times New Roman" w:cs="Times New Roman"/>
          <w:sz w:val="20"/>
        </w:rPr>
        <w:t>microneedles</w:t>
      </w:r>
      <w:proofErr w:type="spellEnd"/>
      <w:r w:rsidRPr="00DE302F">
        <w:rPr>
          <w:rFonts w:ascii="Times New Roman" w:hAnsi="Times New Roman" w:cs="Times New Roman"/>
          <w:sz w:val="20"/>
        </w:rPr>
        <w:t xml:space="preserve">, we evaluated the pharmacokinetics of a test drug in guinea pigs, in comparison to intramuscular and intradermal administration using conventional hypodermic needles. </w:t>
      </w:r>
    </w:p>
    <w:p w:rsidR="00DE302F" w:rsidRPr="00DE302F" w:rsidRDefault="00DE302F" w:rsidP="00DE302F">
      <w:pPr>
        <w:jc w:val="both"/>
        <w:rPr>
          <w:rFonts w:ascii="Times New Roman" w:hAnsi="Times New Roman" w:cs="Times New Roman"/>
          <w:sz w:val="20"/>
        </w:rPr>
      </w:pPr>
      <w:r w:rsidRPr="00DE302F">
        <w:rPr>
          <w:rFonts w:ascii="Times New Roman" w:hAnsi="Times New Roman" w:cs="Times New Roman"/>
          <w:b/>
          <w:sz w:val="20"/>
        </w:rPr>
        <w:t>Methodology:</w:t>
      </w:r>
      <w:r w:rsidRPr="00DE302F">
        <w:rPr>
          <w:rFonts w:ascii="Times New Roman" w:hAnsi="Times New Roman" w:cs="Times New Roman"/>
          <w:sz w:val="20"/>
        </w:rPr>
        <w:t xml:space="preserve"> Thirty animals were injected commercially available </w:t>
      </w:r>
      <w:proofErr w:type="spellStart"/>
      <w:r w:rsidRPr="00DE302F">
        <w:rPr>
          <w:rFonts w:ascii="Times New Roman" w:hAnsi="Times New Roman" w:cs="Times New Roman"/>
          <w:sz w:val="20"/>
        </w:rPr>
        <w:t>rhGH</w:t>
      </w:r>
      <w:proofErr w:type="spellEnd"/>
      <w:r w:rsidRPr="00DE302F">
        <w:rPr>
          <w:rFonts w:ascii="Times New Roman" w:hAnsi="Times New Roman" w:cs="Times New Roman"/>
          <w:sz w:val="20"/>
        </w:rPr>
        <w:t xml:space="preserve"> (</w:t>
      </w:r>
      <w:proofErr w:type="spellStart"/>
      <w:r w:rsidRPr="00DE302F">
        <w:rPr>
          <w:rFonts w:ascii="Times New Roman" w:hAnsi="Times New Roman" w:cs="Times New Roman"/>
          <w:sz w:val="20"/>
        </w:rPr>
        <w:t>somatropin</w:t>
      </w:r>
      <w:proofErr w:type="spellEnd"/>
      <w:r w:rsidRPr="00DE302F">
        <w:rPr>
          <w:rFonts w:ascii="Times New Roman" w:hAnsi="Times New Roman" w:cs="Times New Roman"/>
          <w:sz w:val="20"/>
        </w:rPr>
        <w:t>) 1</w:t>
      </w:r>
      <w:r>
        <w:rPr>
          <w:rFonts w:ascii="Times New Roman" w:hAnsi="Times New Roman" w:cs="Times New Roman"/>
          <w:sz w:val="20"/>
        </w:rPr>
        <w:t xml:space="preserve"> </w:t>
      </w:r>
      <w:r w:rsidRPr="00DE302F">
        <w:rPr>
          <w:rFonts w:ascii="Times New Roman" w:hAnsi="Times New Roman" w:cs="Times New Roman"/>
          <w:sz w:val="20"/>
        </w:rPr>
        <w:t>mg/kg either Intra</w:t>
      </w:r>
      <w:r>
        <w:rPr>
          <w:rFonts w:ascii="Times New Roman" w:hAnsi="Times New Roman" w:cs="Times New Roman"/>
          <w:sz w:val="20"/>
        </w:rPr>
        <w:t>-</w:t>
      </w:r>
      <w:r w:rsidRPr="00DE302F">
        <w:rPr>
          <w:rFonts w:ascii="Times New Roman" w:hAnsi="Times New Roman" w:cs="Times New Roman"/>
          <w:sz w:val="20"/>
        </w:rPr>
        <w:t>Muscularly (IM) using 23G needle, Intra</w:t>
      </w:r>
      <w:r>
        <w:rPr>
          <w:rFonts w:ascii="Times New Roman" w:hAnsi="Times New Roman" w:cs="Times New Roman"/>
          <w:sz w:val="20"/>
        </w:rPr>
        <w:t xml:space="preserve"> </w:t>
      </w:r>
      <w:r w:rsidRPr="00DE302F">
        <w:rPr>
          <w:rFonts w:ascii="Times New Roman" w:hAnsi="Times New Roman" w:cs="Times New Roman"/>
          <w:sz w:val="20"/>
        </w:rPr>
        <w:t xml:space="preserve">Dermally (ID) using 26G needle, or </w:t>
      </w:r>
      <w:proofErr w:type="spellStart"/>
      <w:r w:rsidRPr="00DE302F">
        <w:rPr>
          <w:rFonts w:ascii="Times New Roman" w:hAnsi="Times New Roman" w:cs="Times New Roman"/>
          <w:sz w:val="20"/>
        </w:rPr>
        <w:t>intradermally</w:t>
      </w:r>
      <w:proofErr w:type="spellEnd"/>
      <w:r w:rsidRPr="00DE302F">
        <w:rPr>
          <w:rFonts w:ascii="Times New Roman" w:hAnsi="Times New Roman" w:cs="Times New Roman"/>
          <w:sz w:val="20"/>
        </w:rPr>
        <w:t xml:space="preserve"> using Micro</w:t>
      </w:r>
      <w:r>
        <w:rPr>
          <w:rFonts w:ascii="Times New Roman" w:hAnsi="Times New Roman" w:cs="Times New Roman"/>
          <w:sz w:val="20"/>
        </w:rPr>
        <w:t>-</w:t>
      </w:r>
      <w:r w:rsidRPr="00DE302F">
        <w:rPr>
          <w:rFonts w:ascii="Times New Roman" w:hAnsi="Times New Roman" w:cs="Times New Roman"/>
          <w:sz w:val="20"/>
        </w:rPr>
        <w:t xml:space="preserve">Needle (MN). Plasma GH levels were measured serially over 24 hours using </w:t>
      </w:r>
      <w:proofErr w:type="spellStart"/>
      <w:r w:rsidRPr="00DE302F">
        <w:rPr>
          <w:rFonts w:ascii="Times New Roman" w:hAnsi="Times New Roman" w:cs="Times New Roman"/>
          <w:sz w:val="20"/>
        </w:rPr>
        <w:t>electrochemiluminescene</w:t>
      </w:r>
      <w:proofErr w:type="spellEnd"/>
      <w:r w:rsidRPr="00DE302F">
        <w:rPr>
          <w:rFonts w:ascii="Times New Roman" w:hAnsi="Times New Roman" w:cs="Times New Roman"/>
          <w:sz w:val="20"/>
        </w:rPr>
        <w:t xml:space="preserve"> assay and Pharmacokinetic (PK) parameters were calculated. </w:t>
      </w:r>
    </w:p>
    <w:p w:rsidR="00DE302F" w:rsidRPr="00DE302F" w:rsidRDefault="00DE302F" w:rsidP="00DE302F">
      <w:pPr>
        <w:jc w:val="both"/>
        <w:rPr>
          <w:rFonts w:ascii="Times New Roman" w:hAnsi="Times New Roman" w:cs="Times New Roman"/>
          <w:sz w:val="20"/>
        </w:rPr>
      </w:pPr>
      <w:r w:rsidRPr="00DE302F">
        <w:rPr>
          <w:rFonts w:ascii="Times New Roman" w:hAnsi="Times New Roman" w:cs="Times New Roman"/>
          <w:b/>
          <w:sz w:val="20"/>
        </w:rPr>
        <w:t>Findings:</w:t>
      </w:r>
      <w:r w:rsidRPr="00DE302F">
        <w:rPr>
          <w:rFonts w:ascii="Times New Roman" w:hAnsi="Times New Roman" w:cs="Times New Roman"/>
          <w:sz w:val="20"/>
        </w:rPr>
        <w:t xml:space="preserve"> The test drug was successfully delivered through the </w:t>
      </w:r>
      <w:proofErr w:type="spellStart"/>
      <w:r w:rsidRPr="00DE302F">
        <w:rPr>
          <w:rFonts w:ascii="Times New Roman" w:hAnsi="Times New Roman" w:cs="Times New Roman"/>
          <w:sz w:val="20"/>
        </w:rPr>
        <w:t>microneedles</w:t>
      </w:r>
      <w:proofErr w:type="spellEnd"/>
      <w:r w:rsidRPr="00DE302F">
        <w:rPr>
          <w:rFonts w:ascii="Times New Roman" w:hAnsi="Times New Roman" w:cs="Times New Roman"/>
          <w:sz w:val="20"/>
        </w:rPr>
        <w:t xml:space="preserve">. The median (IQR) wheal size was comparable to that with conventional intradermal injection (0.19 </w:t>
      </w:r>
      <w:r w:rsidRPr="00DE302F">
        <w:rPr>
          <w:rFonts w:ascii="Times New Roman" w:hAnsi="Times New Roman" w:cs="Times New Roman"/>
          <w:i/>
          <w:sz w:val="20"/>
        </w:rPr>
        <w:t>vs.</w:t>
      </w:r>
      <w:r w:rsidRPr="00DE302F">
        <w:rPr>
          <w:rFonts w:ascii="Times New Roman" w:hAnsi="Times New Roman" w:cs="Times New Roman"/>
          <w:sz w:val="20"/>
        </w:rPr>
        <w:t xml:space="preserve"> 0.1). There were no adverse events </w:t>
      </w:r>
      <w:r w:rsidRPr="00DE302F">
        <w:rPr>
          <w:rFonts w:ascii="Times New Roman" w:hAnsi="Times New Roman" w:cs="Times New Roman"/>
          <w:i/>
          <w:sz w:val="20"/>
        </w:rPr>
        <w:t>viz.</w:t>
      </w:r>
      <w:r w:rsidRPr="00DE302F">
        <w:rPr>
          <w:rFonts w:ascii="Times New Roman" w:hAnsi="Times New Roman" w:cs="Times New Roman"/>
          <w:sz w:val="20"/>
        </w:rPr>
        <w:t xml:space="preserve"> bleeding, erythema, swelling, induration, </w:t>
      </w:r>
      <w:proofErr w:type="gramStart"/>
      <w:r w:rsidRPr="00DE302F">
        <w:rPr>
          <w:rFonts w:ascii="Times New Roman" w:hAnsi="Times New Roman" w:cs="Times New Roman"/>
          <w:sz w:val="20"/>
        </w:rPr>
        <w:t>sign</w:t>
      </w:r>
      <w:proofErr w:type="gramEnd"/>
      <w:r w:rsidRPr="00DE302F">
        <w:rPr>
          <w:rFonts w:ascii="Times New Roman" w:hAnsi="Times New Roman" w:cs="Times New Roman"/>
          <w:sz w:val="20"/>
        </w:rPr>
        <w:t xml:space="preserve"> of pain, anxiety or discomfort, confirming safety. Mean (SD) bioavailability calculated using AUC was 444.7 (±</w:t>
      </w:r>
      <w:r>
        <w:rPr>
          <w:rFonts w:ascii="Times New Roman" w:hAnsi="Times New Roman" w:cs="Times New Roman"/>
          <w:sz w:val="20"/>
        </w:rPr>
        <w:t xml:space="preserve"> </w:t>
      </w:r>
      <w:r w:rsidRPr="00DE302F">
        <w:rPr>
          <w:rFonts w:ascii="Times New Roman" w:hAnsi="Times New Roman" w:cs="Times New Roman"/>
          <w:sz w:val="20"/>
        </w:rPr>
        <w:t xml:space="preserve">45.88 SD) </w:t>
      </w:r>
      <w:proofErr w:type="spellStart"/>
      <w:r w:rsidRPr="00DE302F">
        <w:rPr>
          <w:rFonts w:ascii="Times New Roman" w:hAnsi="Times New Roman" w:cs="Times New Roman"/>
          <w:sz w:val="20"/>
        </w:rPr>
        <w:t>ng.h</w:t>
      </w:r>
      <w:proofErr w:type="spellEnd"/>
      <w:r w:rsidRPr="00DE302F">
        <w:rPr>
          <w:rFonts w:ascii="Times New Roman" w:hAnsi="Times New Roman" w:cs="Times New Roman"/>
          <w:sz w:val="20"/>
        </w:rPr>
        <w:t>/ml, 348.72 (±</w:t>
      </w:r>
      <w:r>
        <w:rPr>
          <w:rFonts w:ascii="Times New Roman" w:hAnsi="Times New Roman" w:cs="Times New Roman"/>
          <w:sz w:val="20"/>
        </w:rPr>
        <w:t xml:space="preserve"> </w:t>
      </w:r>
      <w:r w:rsidRPr="00DE302F">
        <w:rPr>
          <w:rFonts w:ascii="Times New Roman" w:hAnsi="Times New Roman" w:cs="Times New Roman"/>
          <w:sz w:val="20"/>
        </w:rPr>
        <w:t xml:space="preserve">81.23 SD) </w:t>
      </w:r>
      <w:proofErr w:type="spellStart"/>
      <w:r w:rsidRPr="00DE302F">
        <w:rPr>
          <w:rFonts w:ascii="Times New Roman" w:hAnsi="Times New Roman" w:cs="Times New Roman"/>
          <w:sz w:val="20"/>
        </w:rPr>
        <w:t>ng.h</w:t>
      </w:r>
      <w:proofErr w:type="spellEnd"/>
      <w:r w:rsidRPr="00DE302F">
        <w:rPr>
          <w:rFonts w:ascii="Times New Roman" w:hAnsi="Times New Roman" w:cs="Times New Roman"/>
          <w:sz w:val="20"/>
        </w:rPr>
        <w:t>/ml</w:t>
      </w:r>
      <w:r>
        <w:rPr>
          <w:rFonts w:ascii="Times New Roman" w:hAnsi="Times New Roman" w:cs="Times New Roman"/>
          <w:sz w:val="20"/>
        </w:rPr>
        <w:t xml:space="preserve"> and</w:t>
      </w:r>
      <w:r w:rsidRPr="00DE302F">
        <w:rPr>
          <w:rFonts w:ascii="Times New Roman" w:hAnsi="Times New Roman" w:cs="Times New Roman"/>
          <w:sz w:val="20"/>
        </w:rPr>
        <w:t xml:space="preserve"> 705.71 (±</w:t>
      </w:r>
      <w:r>
        <w:rPr>
          <w:rFonts w:ascii="Times New Roman" w:hAnsi="Times New Roman" w:cs="Times New Roman"/>
          <w:sz w:val="20"/>
        </w:rPr>
        <w:t xml:space="preserve"> </w:t>
      </w:r>
      <w:r w:rsidRPr="00DE302F">
        <w:rPr>
          <w:rFonts w:ascii="Times New Roman" w:hAnsi="Times New Roman" w:cs="Times New Roman"/>
          <w:sz w:val="20"/>
        </w:rPr>
        <w:t xml:space="preserve">254.78 SD) </w:t>
      </w:r>
      <w:proofErr w:type="spellStart"/>
      <w:r w:rsidRPr="00DE302F">
        <w:rPr>
          <w:rFonts w:ascii="Times New Roman" w:hAnsi="Times New Roman" w:cs="Times New Roman"/>
          <w:sz w:val="20"/>
        </w:rPr>
        <w:t>ng.h</w:t>
      </w:r>
      <w:proofErr w:type="spellEnd"/>
      <w:r w:rsidRPr="00DE302F">
        <w:rPr>
          <w:rFonts w:ascii="Times New Roman" w:hAnsi="Times New Roman" w:cs="Times New Roman"/>
          <w:sz w:val="20"/>
        </w:rPr>
        <w:t xml:space="preserve">/ml for ID, MN and IM injection respectively. The respective mean (SD) </w:t>
      </w:r>
      <w:proofErr w:type="spellStart"/>
      <w:r w:rsidRPr="00DE302F">
        <w:rPr>
          <w:rFonts w:ascii="Times New Roman" w:hAnsi="Times New Roman" w:cs="Times New Roman"/>
          <w:sz w:val="20"/>
        </w:rPr>
        <w:t>Tmax</w:t>
      </w:r>
      <w:proofErr w:type="spellEnd"/>
      <w:r w:rsidRPr="00DE302F">
        <w:rPr>
          <w:rFonts w:ascii="Times New Roman" w:hAnsi="Times New Roman" w:cs="Times New Roman"/>
          <w:sz w:val="20"/>
        </w:rPr>
        <w:t xml:space="preserve"> values were 75 min, 78 min, 120 min These dif</w:t>
      </w:r>
      <w:r>
        <w:rPr>
          <w:rFonts w:ascii="Times New Roman" w:hAnsi="Times New Roman" w:cs="Times New Roman"/>
          <w:sz w:val="20"/>
        </w:rPr>
        <w:t xml:space="preserve">ferences were not statistically </w:t>
      </w:r>
      <w:r w:rsidRPr="00DE302F">
        <w:rPr>
          <w:rFonts w:ascii="Times New Roman" w:hAnsi="Times New Roman" w:cs="Times New Roman"/>
          <w:sz w:val="20"/>
        </w:rPr>
        <w:t xml:space="preserve">significant, AUC for MN </w:t>
      </w:r>
      <w:r w:rsidRPr="00DE302F">
        <w:rPr>
          <w:rFonts w:ascii="Times New Roman" w:hAnsi="Times New Roman" w:cs="Times New Roman"/>
          <w:i/>
          <w:sz w:val="20"/>
        </w:rPr>
        <w:t>vs.</w:t>
      </w:r>
      <w:r w:rsidRPr="00DE302F">
        <w:rPr>
          <w:rFonts w:ascii="Times New Roman" w:hAnsi="Times New Roman" w:cs="Times New Roman"/>
          <w:sz w:val="20"/>
        </w:rPr>
        <w:t xml:space="preserve"> ID (p value=0.49); for MN </w:t>
      </w:r>
      <w:r w:rsidRPr="00DE302F">
        <w:rPr>
          <w:rFonts w:ascii="Times New Roman" w:hAnsi="Times New Roman" w:cs="Times New Roman"/>
          <w:i/>
          <w:sz w:val="20"/>
        </w:rPr>
        <w:t>vs.</w:t>
      </w:r>
      <w:r w:rsidRPr="00DE302F">
        <w:rPr>
          <w:rFonts w:ascii="Times New Roman" w:hAnsi="Times New Roman" w:cs="Times New Roman"/>
          <w:sz w:val="20"/>
        </w:rPr>
        <w:t xml:space="preserve"> IM (p value=0.30); and for ID </w:t>
      </w:r>
      <w:r w:rsidRPr="00DE302F">
        <w:rPr>
          <w:rFonts w:ascii="Times New Roman" w:hAnsi="Times New Roman" w:cs="Times New Roman"/>
          <w:i/>
          <w:sz w:val="20"/>
        </w:rPr>
        <w:t>vs.</w:t>
      </w:r>
      <w:r w:rsidRPr="00DE302F">
        <w:rPr>
          <w:rFonts w:ascii="Times New Roman" w:hAnsi="Times New Roman" w:cs="Times New Roman"/>
          <w:sz w:val="20"/>
        </w:rPr>
        <w:t xml:space="preserve"> IM (p value=0.53) and </w:t>
      </w:r>
      <w:proofErr w:type="spellStart"/>
      <w:r w:rsidRPr="00DE302F">
        <w:rPr>
          <w:rFonts w:ascii="Times New Roman" w:hAnsi="Times New Roman" w:cs="Times New Roman"/>
          <w:sz w:val="20"/>
        </w:rPr>
        <w:t>Tmax</w:t>
      </w:r>
      <w:proofErr w:type="spellEnd"/>
      <w:r w:rsidRPr="00DE302F">
        <w:rPr>
          <w:rFonts w:ascii="Times New Roman" w:hAnsi="Times New Roman" w:cs="Times New Roman"/>
          <w:sz w:val="20"/>
        </w:rPr>
        <w:t xml:space="preserve"> for MN </w:t>
      </w:r>
      <w:r w:rsidRPr="00DE302F">
        <w:rPr>
          <w:rFonts w:ascii="Times New Roman" w:hAnsi="Times New Roman" w:cs="Times New Roman"/>
          <w:i/>
          <w:sz w:val="20"/>
        </w:rPr>
        <w:t>vs.</w:t>
      </w:r>
      <w:r w:rsidRPr="00DE302F">
        <w:rPr>
          <w:rFonts w:ascii="Times New Roman" w:hAnsi="Times New Roman" w:cs="Times New Roman"/>
          <w:sz w:val="20"/>
        </w:rPr>
        <w:t xml:space="preserve"> ID (p value=0.85); for MN </w:t>
      </w:r>
      <w:r w:rsidRPr="00DE302F">
        <w:rPr>
          <w:rFonts w:ascii="Times New Roman" w:hAnsi="Times New Roman" w:cs="Times New Roman"/>
          <w:i/>
          <w:sz w:val="20"/>
        </w:rPr>
        <w:t>vs.</w:t>
      </w:r>
      <w:r w:rsidRPr="00DE302F">
        <w:rPr>
          <w:rFonts w:ascii="Times New Roman" w:hAnsi="Times New Roman" w:cs="Times New Roman"/>
          <w:sz w:val="20"/>
        </w:rPr>
        <w:t xml:space="preserve"> IM (p value=0.01); and for ID </w:t>
      </w:r>
      <w:r w:rsidRPr="00DE302F">
        <w:rPr>
          <w:rFonts w:ascii="Times New Roman" w:hAnsi="Times New Roman" w:cs="Times New Roman"/>
          <w:i/>
          <w:sz w:val="20"/>
        </w:rPr>
        <w:t>vs.</w:t>
      </w:r>
      <w:r>
        <w:rPr>
          <w:rFonts w:ascii="Times New Roman" w:hAnsi="Times New Roman" w:cs="Times New Roman"/>
          <w:sz w:val="20"/>
        </w:rPr>
        <w:t xml:space="preserve"> IM (p value=0.0008) [Figure 1]</w:t>
      </w:r>
      <w:r w:rsidRPr="00DE302F">
        <w:rPr>
          <w:rFonts w:ascii="Times New Roman" w:hAnsi="Times New Roman" w:cs="Times New Roman"/>
          <w:sz w:val="20"/>
        </w:rPr>
        <w:t xml:space="preserve">. </w:t>
      </w:r>
    </w:p>
    <w:p w:rsidR="00DE302F" w:rsidRDefault="00DE302F" w:rsidP="00DE302F">
      <w:pPr>
        <w:jc w:val="both"/>
        <w:rPr>
          <w:rFonts w:ascii="Times New Roman" w:hAnsi="Times New Roman" w:cs="Times New Roman"/>
          <w:sz w:val="20"/>
        </w:rPr>
      </w:pPr>
      <w:r w:rsidRPr="00DE302F">
        <w:rPr>
          <w:rFonts w:ascii="Times New Roman" w:hAnsi="Times New Roman" w:cs="Times New Roman"/>
          <w:b/>
          <w:sz w:val="20"/>
        </w:rPr>
        <w:t xml:space="preserve">Conclusion: </w:t>
      </w:r>
      <w:r w:rsidRPr="00DE302F">
        <w:rPr>
          <w:rFonts w:ascii="Times New Roman" w:hAnsi="Times New Roman" w:cs="Times New Roman"/>
          <w:sz w:val="20"/>
        </w:rPr>
        <w:t xml:space="preserve">These data confirm that intradermal injection through </w:t>
      </w:r>
      <w:proofErr w:type="spellStart"/>
      <w:r w:rsidRPr="00DE302F">
        <w:rPr>
          <w:rFonts w:ascii="Times New Roman" w:hAnsi="Times New Roman" w:cs="Times New Roman"/>
          <w:sz w:val="20"/>
        </w:rPr>
        <w:t>microneedles</w:t>
      </w:r>
      <w:proofErr w:type="spellEnd"/>
      <w:r w:rsidRPr="00DE302F">
        <w:rPr>
          <w:rFonts w:ascii="Times New Roman" w:hAnsi="Times New Roman" w:cs="Times New Roman"/>
          <w:sz w:val="20"/>
        </w:rPr>
        <w:t xml:space="preserve"> is safe and efficacious, paving the way for clinical studies in human subjects.</w:t>
      </w:r>
    </w:p>
    <w:p w:rsidR="00DE302F" w:rsidRDefault="00DE302F" w:rsidP="00DE302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2A5A76">
            <wp:extent cx="3719195" cy="1706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9195" cy="1706880"/>
                    </a:xfrm>
                    <a:prstGeom prst="rect">
                      <a:avLst/>
                    </a:prstGeom>
                    <a:noFill/>
                  </pic:spPr>
                </pic:pic>
              </a:graphicData>
            </a:graphic>
          </wp:inline>
        </w:drawing>
      </w:r>
    </w:p>
    <w:p w:rsidR="00DE302F" w:rsidRPr="00DE302F" w:rsidRDefault="00DE302F" w:rsidP="00DE302F">
      <w:pPr>
        <w:jc w:val="center"/>
        <w:rPr>
          <w:rFonts w:ascii="Times New Roman" w:hAnsi="Times New Roman" w:cs="Times New Roman"/>
          <w:i/>
          <w:sz w:val="18"/>
        </w:rPr>
      </w:pPr>
      <w:proofErr w:type="gramStart"/>
      <w:r w:rsidRPr="00DE302F">
        <w:rPr>
          <w:rFonts w:ascii="Times New Roman" w:hAnsi="Times New Roman" w:cs="Times New Roman"/>
          <w:b/>
          <w:i/>
          <w:sz w:val="18"/>
        </w:rPr>
        <w:t>Figure 1.</w:t>
      </w:r>
      <w:proofErr w:type="gramEnd"/>
      <w:r w:rsidRPr="00DE302F">
        <w:rPr>
          <w:rFonts w:ascii="Times New Roman" w:hAnsi="Times New Roman" w:cs="Times New Roman"/>
          <w:i/>
          <w:sz w:val="18"/>
        </w:rPr>
        <w:t xml:space="preserve"> </w:t>
      </w:r>
      <w:proofErr w:type="gramStart"/>
      <w:r w:rsidRPr="00DE302F">
        <w:rPr>
          <w:rFonts w:ascii="Times New Roman" w:hAnsi="Times New Roman" w:cs="Times New Roman"/>
          <w:i/>
          <w:sz w:val="18"/>
        </w:rPr>
        <w:t>Image depicting the GH plasma concentration vs. time graph and error bars representing the standard deviation obtained by GH delivery through MN, ID and IM at above time points in guinea pigs.</w:t>
      </w:r>
      <w:proofErr w:type="gramEnd"/>
    </w:p>
    <w:p w:rsidR="00DE302F" w:rsidRPr="00DE302F" w:rsidRDefault="00DE302F" w:rsidP="00DE302F">
      <w:pPr>
        <w:rPr>
          <w:rFonts w:ascii="Times New Roman" w:hAnsi="Times New Roman" w:cs="Times New Roman"/>
          <w:b/>
          <w:sz w:val="24"/>
        </w:rPr>
      </w:pPr>
      <w:r w:rsidRPr="00DE302F">
        <w:rPr>
          <w:rFonts w:ascii="Times New Roman" w:hAnsi="Times New Roman" w:cs="Times New Roman"/>
          <w:b/>
          <w:sz w:val="24"/>
        </w:rPr>
        <w:lastRenderedPageBreak/>
        <w:t>Biography</w:t>
      </w:r>
    </w:p>
    <w:p w:rsidR="00DE302F" w:rsidRPr="00DE302F" w:rsidRDefault="00DE302F" w:rsidP="00DE302F">
      <w:pPr>
        <w:jc w:val="both"/>
        <w:rPr>
          <w:rFonts w:ascii="Times New Roman" w:hAnsi="Times New Roman" w:cs="Times New Roman"/>
          <w:sz w:val="20"/>
        </w:rPr>
      </w:pPr>
      <w:proofErr w:type="spellStart"/>
      <w:r w:rsidRPr="00DE302F">
        <w:rPr>
          <w:rFonts w:ascii="Times New Roman" w:hAnsi="Times New Roman" w:cs="Times New Roman"/>
          <w:sz w:val="20"/>
        </w:rPr>
        <w:t>Ishumeet</w:t>
      </w:r>
      <w:proofErr w:type="spellEnd"/>
      <w:r w:rsidRPr="00DE302F">
        <w:rPr>
          <w:rFonts w:ascii="Times New Roman" w:hAnsi="Times New Roman" w:cs="Times New Roman"/>
          <w:sz w:val="20"/>
        </w:rPr>
        <w:t xml:space="preserve"> </w:t>
      </w:r>
      <w:proofErr w:type="spellStart"/>
      <w:r w:rsidRPr="00DE302F">
        <w:rPr>
          <w:rFonts w:ascii="Times New Roman" w:hAnsi="Times New Roman" w:cs="Times New Roman"/>
          <w:sz w:val="20"/>
        </w:rPr>
        <w:t>Kaur</w:t>
      </w:r>
      <w:proofErr w:type="spellEnd"/>
      <w:r w:rsidRPr="00DE302F">
        <w:rPr>
          <w:rFonts w:ascii="Times New Roman" w:hAnsi="Times New Roman" w:cs="Times New Roman"/>
          <w:sz w:val="20"/>
        </w:rPr>
        <w:t xml:space="preserve"> </w:t>
      </w:r>
      <w:proofErr w:type="spellStart"/>
      <w:r w:rsidRPr="00DE302F">
        <w:rPr>
          <w:rFonts w:ascii="Times New Roman" w:hAnsi="Times New Roman" w:cs="Times New Roman"/>
          <w:sz w:val="20"/>
        </w:rPr>
        <w:t>Bajwa</w:t>
      </w:r>
      <w:proofErr w:type="spellEnd"/>
      <w:r w:rsidRPr="00DE302F">
        <w:rPr>
          <w:rFonts w:ascii="Times New Roman" w:hAnsi="Times New Roman" w:cs="Times New Roman"/>
          <w:sz w:val="20"/>
        </w:rPr>
        <w:t xml:space="preserve"> completed her Master’s in Pharmacology and is pursuing PhD at the Post Graduate Institute of Medical Education and Research, Chandigarh, India. She has worked and developed various animal models including Alz</w:t>
      </w:r>
      <w:r>
        <w:rPr>
          <w:rFonts w:ascii="Times New Roman" w:hAnsi="Times New Roman" w:cs="Times New Roman"/>
          <w:sz w:val="20"/>
        </w:rPr>
        <w:t>heimer’s disease, wound healing</w:t>
      </w:r>
      <w:r w:rsidRPr="00DE302F">
        <w:rPr>
          <w:rFonts w:ascii="Times New Roman" w:hAnsi="Times New Roman" w:cs="Times New Roman"/>
          <w:sz w:val="20"/>
        </w:rPr>
        <w:t xml:space="preserve"> and Diabetes and has 6 years of experience in the field of research and preclinical studies. She is currently working on novel drug and vaccine delivery system using </w:t>
      </w:r>
      <w:proofErr w:type="spellStart"/>
      <w:r w:rsidRPr="00DE302F">
        <w:rPr>
          <w:rFonts w:ascii="Times New Roman" w:hAnsi="Times New Roman" w:cs="Times New Roman"/>
          <w:sz w:val="20"/>
        </w:rPr>
        <w:t>microneedles</w:t>
      </w:r>
      <w:proofErr w:type="spellEnd"/>
      <w:r w:rsidRPr="00DE302F">
        <w:rPr>
          <w:rFonts w:ascii="Times New Roman" w:hAnsi="Times New Roman" w:cs="Times New Roman"/>
          <w:sz w:val="20"/>
        </w:rPr>
        <w:t xml:space="preserve"> in animal models of guinea pigs, rats and mice. Her thesis focuses on the evaluation of pharmacokinetics and pharmacodynamics of the drug and immunogenicity of vaccine delivered through intradermal route using novel </w:t>
      </w:r>
      <w:proofErr w:type="spellStart"/>
      <w:r w:rsidRPr="00DE302F">
        <w:rPr>
          <w:rFonts w:ascii="Times New Roman" w:hAnsi="Times New Roman" w:cs="Times New Roman"/>
          <w:sz w:val="20"/>
        </w:rPr>
        <w:t>microneedle</w:t>
      </w:r>
      <w:proofErr w:type="spellEnd"/>
      <w:r w:rsidRPr="00DE302F">
        <w:rPr>
          <w:rFonts w:ascii="Times New Roman" w:hAnsi="Times New Roman" w:cs="Times New Roman"/>
          <w:sz w:val="20"/>
        </w:rPr>
        <w:t xml:space="preserve"> systems. Her future goal is to take her study to the next level of clinical trials which could revolutionize childhood vaccination program.</w:t>
      </w:r>
      <w:bookmarkEnd w:id="0"/>
    </w:p>
    <w:sectPr w:rsidR="00DE302F" w:rsidRPr="00DE3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02F"/>
    <w:rsid w:val="00474203"/>
    <w:rsid w:val="00535872"/>
    <w:rsid w:val="00924B33"/>
    <w:rsid w:val="00AC3703"/>
    <w:rsid w:val="00DE3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0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0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2023-01-31T12:59:00Z</dcterms:created>
  <dcterms:modified xsi:type="dcterms:W3CDTF">2023-01-31T13:10:00Z</dcterms:modified>
</cp:coreProperties>
</file>