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A6190">
      <w:pPr>
        <w:rPr>
          <w:rFonts w:ascii="Times New Roman" w:hAnsi="Times New Roman" w:cs="Times New Roman"/>
          <w:b/>
          <w:sz w:val="32"/>
        </w:rPr>
      </w:pPr>
      <w:proofErr w:type="gramStart"/>
      <w:r w:rsidRPr="000A6190">
        <w:rPr>
          <w:rFonts w:ascii="Times New Roman" w:hAnsi="Times New Roman" w:cs="Times New Roman"/>
          <w:b/>
          <w:sz w:val="32"/>
        </w:rPr>
        <w:t>Poly(</w:t>
      </w:r>
      <w:proofErr w:type="gramEnd"/>
      <w:r w:rsidRPr="000A6190">
        <w:rPr>
          <w:rFonts w:ascii="Times New Roman" w:hAnsi="Times New Roman" w:cs="Times New Roman"/>
          <w:b/>
          <w:sz w:val="32"/>
        </w:rPr>
        <w:t xml:space="preserve">ionic liquid)s for </w:t>
      </w:r>
      <w:proofErr w:type="spellStart"/>
      <w:r w:rsidRPr="000A6190">
        <w:rPr>
          <w:rFonts w:ascii="Times New Roman" w:hAnsi="Times New Roman" w:cs="Times New Roman"/>
          <w:b/>
          <w:sz w:val="32"/>
        </w:rPr>
        <w:t>photocatalytic</w:t>
      </w:r>
      <w:proofErr w:type="spellEnd"/>
      <w:r w:rsidRPr="000A6190">
        <w:rPr>
          <w:rFonts w:ascii="Times New Roman" w:hAnsi="Times New Roman" w:cs="Times New Roman"/>
          <w:b/>
          <w:sz w:val="32"/>
        </w:rPr>
        <w:t xml:space="preserve"> CO</w:t>
      </w:r>
      <w:r w:rsidRPr="000A6190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0A6190">
        <w:rPr>
          <w:rFonts w:ascii="Times New Roman" w:hAnsi="Times New Roman" w:cs="Times New Roman"/>
          <w:b/>
          <w:sz w:val="32"/>
        </w:rPr>
        <w:t xml:space="preserve"> conversion</w:t>
      </w:r>
    </w:p>
    <w:p w:rsidR="000A6190" w:rsidRDefault="000A6190">
      <w:pPr>
        <w:rPr>
          <w:rFonts w:ascii="Times New Roman" w:hAnsi="Times New Roman" w:cs="Times New Roman"/>
          <w:sz w:val="24"/>
        </w:rPr>
      </w:pPr>
      <w:proofErr w:type="spellStart"/>
      <w:r w:rsidRPr="000A6190">
        <w:rPr>
          <w:rFonts w:ascii="Times New Roman" w:hAnsi="Times New Roman" w:cs="Times New Roman"/>
          <w:sz w:val="24"/>
        </w:rPr>
        <w:t>Chengcheng</w:t>
      </w:r>
      <w:proofErr w:type="spellEnd"/>
      <w:r w:rsidRPr="000A6190">
        <w:rPr>
          <w:rFonts w:ascii="Times New Roman" w:hAnsi="Times New Roman" w:cs="Times New Roman"/>
          <w:sz w:val="24"/>
        </w:rPr>
        <w:t xml:space="preserve"> Liu</w:t>
      </w:r>
    </w:p>
    <w:p w:rsidR="000A6190" w:rsidRPr="000A6190" w:rsidRDefault="000A6190">
      <w:pPr>
        <w:rPr>
          <w:rFonts w:ascii="Times New Roman" w:hAnsi="Times New Roman" w:cs="Times New Roman"/>
        </w:rPr>
      </w:pPr>
      <w:r w:rsidRPr="000A6190">
        <w:rPr>
          <w:rFonts w:ascii="Times New Roman" w:hAnsi="Times New Roman" w:cs="Times New Roman"/>
        </w:rPr>
        <w:t>Shandong University, China</w:t>
      </w:r>
    </w:p>
    <w:p w:rsidR="000A6190" w:rsidRPr="000A6190" w:rsidRDefault="000A6190" w:rsidP="000A6190">
      <w:pPr>
        <w:jc w:val="center"/>
        <w:rPr>
          <w:rFonts w:ascii="Times New Roman" w:hAnsi="Times New Roman" w:cs="Times New Roman"/>
          <w:b/>
          <w:sz w:val="24"/>
        </w:rPr>
      </w:pPr>
      <w:r w:rsidRPr="000A6190">
        <w:rPr>
          <w:rFonts w:ascii="Times New Roman" w:hAnsi="Times New Roman" w:cs="Times New Roman"/>
          <w:b/>
          <w:sz w:val="24"/>
        </w:rPr>
        <w:t>Abstract</w:t>
      </w:r>
    </w:p>
    <w:p w:rsidR="000A6190" w:rsidRDefault="000A6190" w:rsidP="000A6190">
      <w:pPr>
        <w:jc w:val="both"/>
        <w:rPr>
          <w:rFonts w:ascii="Times New Roman" w:hAnsi="Times New Roman" w:cs="Times New Roman"/>
          <w:sz w:val="20"/>
        </w:rPr>
      </w:pPr>
      <w:r w:rsidRPr="000A6190">
        <w:rPr>
          <w:rFonts w:ascii="Times New Roman" w:hAnsi="Times New Roman" w:cs="Times New Roman"/>
          <w:sz w:val="20"/>
        </w:rPr>
        <w:t>Poly</w:t>
      </w:r>
      <w:r>
        <w:rPr>
          <w:rFonts w:ascii="Times New Roman" w:hAnsi="Times New Roman" w:cs="Times New Roman"/>
          <w:sz w:val="20"/>
        </w:rPr>
        <w:t>-</w:t>
      </w:r>
      <w:r w:rsidRPr="000A6190">
        <w:rPr>
          <w:rFonts w:ascii="Times New Roman" w:hAnsi="Times New Roman" w:cs="Times New Roman"/>
          <w:sz w:val="20"/>
        </w:rPr>
        <w:t>Ionic Liquids (PILs) refer to polymers polymerized by Ionic Liquids (ILs) monomers. ILs and PILs have been widely used in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conversion. Their ionic microenvironment and special hydrogen bonds can enrich and activate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efficiently, thus facilitating the conversion of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under mild conditions. At present, the applications of PILs in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 mainly focus on thermal catalysis and </w:t>
      </w:r>
      <w:proofErr w:type="spellStart"/>
      <w:r w:rsidRPr="000A6190">
        <w:rPr>
          <w:rFonts w:ascii="Times New Roman" w:hAnsi="Times New Roman" w:cs="Times New Roman"/>
          <w:sz w:val="20"/>
        </w:rPr>
        <w:t>electrocatalytic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conversion. Their applications in </w:t>
      </w:r>
      <w:proofErr w:type="spellStart"/>
      <w:r w:rsidRPr="000A6190">
        <w:rPr>
          <w:rFonts w:ascii="Times New Roman" w:hAnsi="Times New Roman" w:cs="Times New Roman"/>
          <w:sz w:val="20"/>
        </w:rPr>
        <w:t>photocatalytic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 are rarely reported. </w:t>
      </w:r>
      <w:proofErr w:type="spellStart"/>
      <w:r w:rsidRPr="000A6190">
        <w:rPr>
          <w:rFonts w:ascii="Times New Roman" w:hAnsi="Times New Roman" w:cs="Times New Roman"/>
          <w:sz w:val="20"/>
        </w:rPr>
        <w:t>Photocatalytic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 can convert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into high value-added fuel and store solar energy in the fuel, which is one of the important means to overcome the energy crisis and reduce environmental pollution. However, due to the high C=O dissociation energy of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A6190">
        <w:rPr>
          <w:rFonts w:ascii="Times New Roman" w:hAnsi="Times New Roman" w:cs="Times New Roman"/>
          <w:sz w:val="20"/>
        </w:rPr>
        <w:t>photocatalytic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 still faces the problems of low conversion rate and serious hydrogen evolution side reactions. Due to its unique ion pair structure and strong structural design</w:t>
      </w:r>
      <w:r>
        <w:rPr>
          <w:rFonts w:ascii="Times New Roman" w:hAnsi="Times New Roman" w:cs="Times New Roman"/>
          <w:sz w:val="20"/>
        </w:rPr>
        <w:t xml:space="preserve"> </w:t>
      </w:r>
      <w:r w:rsidRPr="000A6190">
        <w:rPr>
          <w:rFonts w:ascii="Times New Roman" w:hAnsi="Times New Roman" w:cs="Times New Roman"/>
          <w:sz w:val="20"/>
        </w:rPr>
        <w:t xml:space="preserve">ability, PILs have great potentials in </w:t>
      </w:r>
      <w:proofErr w:type="spellStart"/>
      <w:r w:rsidRPr="000A6190">
        <w:rPr>
          <w:rFonts w:ascii="Times New Roman" w:hAnsi="Times New Roman" w:cs="Times New Roman"/>
          <w:sz w:val="20"/>
        </w:rPr>
        <w:t>photocatalytic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conversion. The main limiting factor for applications in </w:t>
      </w:r>
      <w:proofErr w:type="spellStart"/>
      <w:r w:rsidRPr="000A6190">
        <w:rPr>
          <w:rFonts w:ascii="Times New Roman" w:hAnsi="Times New Roman" w:cs="Times New Roman"/>
          <w:sz w:val="20"/>
        </w:rPr>
        <w:t>photocatalysis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is the poor </w:t>
      </w:r>
      <w:proofErr w:type="spellStart"/>
      <w:r w:rsidRPr="000A6190">
        <w:rPr>
          <w:rFonts w:ascii="Times New Roman" w:hAnsi="Times New Roman" w:cs="Times New Roman"/>
          <w:sz w:val="20"/>
        </w:rPr>
        <w:t>photoexcitation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ability of PILs. In the previous studies, the author found that the introduction of electron donor-acceptor structure into PILs can significantly improve the separation and migration rate of </w:t>
      </w:r>
      <w:proofErr w:type="spellStart"/>
      <w:r w:rsidRPr="000A6190">
        <w:rPr>
          <w:rFonts w:ascii="Times New Roman" w:hAnsi="Times New Roman" w:cs="Times New Roman"/>
          <w:sz w:val="20"/>
        </w:rPr>
        <w:t>photogenerated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carriers in the PILs structure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0A6190">
        <w:rPr>
          <w:rFonts w:ascii="Times New Roman" w:hAnsi="Times New Roman" w:cs="Times New Roman"/>
          <w:sz w:val="20"/>
        </w:rPr>
        <w:t xml:space="preserve">. The synthesized PILs show high catalytic activity in both </w:t>
      </w:r>
      <w:proofErr w:type="spellStart"/>
      <w:r w:rsidRPr="000A6190">
        <w:rPr>
          <w:rFonts w:ascii="Times New Roman" w:hAnsi="Times New Roman" w:cs="Times New Roman"/>
          <w:sz w:val="20"/>
        </w:rPr>
        <w:t>photocatalytic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reduction and photo-driven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6190">
        <w:rPr>
          <w:rFonts w:ascii="Times New Roman" w:hAnsi="Times New Roman" w:cs="Times New Roman"/>
          <w:sz w:val="20"/>
        </w:rPr>
        <w:t>cycloaddition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reactions. Through the transient absorption and other spectral studies combined with the Density Functional Theory (DFT) and Time-Dependent Density Functional Theory (TD-DFT) calculations, it was found that there was a strong built-in electric field in t</w:t>
      </w:r>
      <w:bookmarkStart w:id="0" w:name="_GoBack"/>
      <w:bookmarkEnd w:id="0"/>
      <w:r w:rsidRPr="000A6190">
        <w:rPr>
          <w:rFonts w:ascii="Times New Roman" w:hAnsi="Times New Roman" w:cs="Times New Roman"/>
          <w:sz w:val="20"/>
        </w:rPr>
        <w:t>he designed PILs molecules. The built-in electric field could provide a driving force for the separation and directional transmission of photo-carriers in PILs, thus promoting the photo-catalyzed/photo-induced CO</w:t>
      </w:r>
      <w:r w:rsidRPr="000A6190">
        <w:rPr>
          <w:rFonts w:ascii="Times New Roman" w:hAnsi="Times New Roman" w:cs="Times New Roman"/>
          <w:sz w:val="20"/>
          <w:vertAlign w:val="subscript"/>
        </w:rPr>
        <w:t>2</w:t>
      </w:r>
      <w:r w:rsidRPr="000A6190">
        <w:rPr>
          <w:rFonts w:ascii="Times New Roman" w:hAnsi="Times New Roman" w:cs="Times New Roman"/>
          <w:sz w:val="20"/>
        </w:rPr>
        <w:t xml:space="preserve"> conversion.</w:t>
      </w:r>
    </w:p>
    <w:p w:rsidR="000A6190" w:rsidRDefault="000A6190" w:rsidP="000A6190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75ACF13">
            <wp:extent cx="248158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6190" w:rsidRPr="000A6190" w:rsidRDefault="000A6190" w:rsidP="000A6190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0A6190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0A6190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0A6190">
        <w:rPr>
          <w:rFonts w:ascii="Times New Roman" w:hAnsi="Times New Roman" w:cs="Times New Roman"/>
          <w:i/>
          <w:sz w:val="18"/>
        </w:rPr>
        <w:t xml:space="preserve">PILs with donor-acceptor structures for </w:t>
      </w:r>
      <w:proofErr w:type="spellStart"/>
      <w:r w:rsidRPr="000A6190">
        <w:rPr>
          <w:rFonts w:ascii="Times New Roman" w:hAnsi="Times New Roman" w:cs="Times New Roman"/>
          <w:i/>
          <w:sz w:val="18"/>
        </w:rPr>
        <w:t>photocatalytic</w:t>
      </w:r>
      <w:proofErr w:type="spellEnd"/>
      <w:r w:rsidRPr="000A6190">
        <w:rPr>
          <w:rFonts w:ascii="Times New Roman" w:hAnsi="Times New Roman" w:cs="Times New Roman"/>
          <w:i/>
          <w:sz w:val="18"/>
        </w:rPr>
        <w:t xml:space="preserve"> CO</w:t>
      </w:r>
      <w:r w:rsidRPr="000A6190">
        <w:rPr>
          <w:rFonts w:ascii="Times New Roman" w:hAnsi="Times New Roman" w:cs="Times New Roman"/>
          <w:i/>
          <w:sz w:val="18"/>
          <w:vertAlign w:val="subscript"/>
        </w:rPr>
        <w:t>2</w:t>
      </w:r>
      <w:r w:rsidRPr="000A6190">
        <w:rPr>
          <w:rFonts w:ascii="Times New Roman" w:hAnsi="Times New Roman" w:cs="Times New Roman"/>
          <w:i/>
          <w:sz w:val="18"/>
        </w:rPr>
        <w:t xml:space="preserve"> conversion.</w:t>
      </w:r>
      <w:proofErr w:type="gramEnd"/>
    </w:p>
    <w:p w:rsidR="000A6190" w:rsidRPr="000A6190" w:rsidRDefault="000A6190" w:rsidP="000A6190">
      <w:pPr>
        <w:rPr>
          <w:rFonts w:ascii="Times New Roman" w:hAnsi="Times New Roman" w:cs="Times New Roman"/>
          <w:b/>
          <w:sz w:val="24"/>
        </w:rPr>
      </w:pPr>
      <w:r w:rsidRPr="000A6190">
        <w:rPr>
          <w:rFonts w:ascii="Times New Roman" w:hAnsi="Times New Roman" w:cs="Times New Roman"/>
          <w:b/>
          <w:sz w:val="24"/>
        </w:rPr>
        <w:t>Biograp</w:t>
      </w:r>
      <w:r w:rsidRPr="000A6190">
        <w:rPr>
          <w:rFonts w:ascii="Times New Roman" w:hAnsi="Times New Roman" w:cs="Times New Roman"/>
          <w:b/>
          <w:sz w:val="24"/>
        </w:rPr>
        <w:t>h</w:t>
      </w:r>
      <w:r w:rsidRPr="000A6190">
        <w:rPr>
          <w:rFonts w:ascii="Times New Roman" w:hAnsi="Times New Roman" w:cs="Times New Roman"/>
          <w:b/>
          <w:sz w:val="24"/>
        </w:rPr>
        <w:t xml:space="preserve">y </w:t>
      </w:r>
    </w:p>
    <w:p w:rsidR="000A6190" w:rsidRPr="000A6190" w:rsidRDefault="000A6190" w:rsidP="000A619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A6190">
        <w:rPr>
          <w:rFonts w:ascii="Times New Roman" w:hAnsi="Times New Roman" w:cs="Times New Roman"/>
          <w:sz w:val="20"/>
        </w:rPr>
        <w:t>Chengcheng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Liu is an associate researcher at the Institute of Frontier and Interdisciplinary Science, Shandong University. She received her PhD degree in materials science under the supervision of Prof. </w:t>
      </w:r>
      <w:proofErr w:type="spellStart"/>
      <w:r w:rsidRPr="000A6190">
        <w:rPr>
          <w:rFonts w:ascii="Times New Roman" w:hAnsi="Times New Roman" w:cs="Times New Roman"/>
          <w:sz w:val="20"/>
        </w:rPr>
        <w:t>Buxing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Han and </w:t>
      </w:r>
      <w:proofErr w:type="spellStart"/>
      <w:r w:rsidRPr="000A6190">
        <w:rPr>
          <w:rFonts w:ascii="Times New Roman" w:hAnsi="Times New Roman" w:cs="Times New Roman"/>
          <w:sz w:val="20"/>
        </w:rPr>
        <w:t>Jianling</w:t>
      </w:r>
      <w:proofErr w:type="spellEnd"/>
      <w:r w:rsidRPr="000A6190">
        <w:rPr>
          <w:rFonts w:ascii="Times New Roman" w:hAnsi="Times New Roman" w:cs="Times New Roman"/>
          <w:sz w:val="20"/>
        </w:rPr>
        <w:t xml:space="preserve"> Zhang from Institute of Chemistry, Chinese Academy of Sciences (ICCAS) in 2017. Then she worked as a postdoctoral researcher at the University of Manchester (2017-2019). Her research interest is developing functional porous materials toward their applications in energy fields.</w:t>
      </w:r>
    </w:p>
    <w:sectPr w:rsidR="000A6190" w:rsidRPr="000A6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90"/>
    <w:rsid w:val="000A6190"/>
    <w:rsid w:val="0032354D"/>
    <w:rsid w:val="00474203"/>
    <w:rsid w:val="00535872"/>
    <w:rsid w:val="00924B33"/>
    <w:rsid w:val="00C4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1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1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2023-03-27T11:54:00Z</dcterms:created>
  <dcterms:modified xsi:type="dcterms:W3CDTF">2023-03-27T12:07:00Z</dcterms:modified>
</cp:coreProperties>
</file>