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E210A">
      <w:pPr>
        <w:rPr>
          <w:rFonts w:ascii="Times New Roman" w:hAnsi="Times New Roman" w:cs="Times New Roman"/>
          <w:b/>
          <w:sz w:val="32"/>
        </w:rPr>
      </w:pPr>
      <w:bookmarkStart w:id="0" w:name="_GoBack"/>
      <w:r w:rsidRPr="00FE210A">
        <w:rPr>
          <w:rFonts w:ascii="Times New Roman" w:hAnsi="Times New Roman" w:cs="Times New Roman"/>
          <w:b/>
          <w:sz w:val="32"/>
        </w:rPr>
        <w:t>Intent-driven (AI/ML) governance for dynamic data controls</w:t>
      </w:r>
    </w:p>
    <w:p w:rsidR="00FE210A" w:rsidRDefault="00FE210A">
      <w:pPr>
        <w:rPr>
          <w:rFonts w:ascii="Times New Roman" w:hAnsi="Times New Roman" w:cs="Times New Roman"/>
          <w:sz w:val="24"/>
        </w:rPr>
      </w:pPr>
      <w:r w:rsidRPr="00FE210A">
        <w:rPr>
          <w:rFonts w:ascii="Times New Roman" w:hAnsi="Times New Roman" w:cs="Times New Roman"/>
          <w:sz w:val="24"/>
        </w:rPr>
        <w:t>Joy Mukherjee</w:t>
      </w:r>
    </w:p>
    <w:p w:rsidR="00FE210A" w:rsidRPr="00FE210A" w:rsidRDefault="00FE210A">
      <w:pPr>
        <w:rPr>
          <w:rFonts w:ascii="Times New Roman" w:hAnsi="Times New Roman" w:cs="Times New Roman"/>
        </w:rPr>
      </w:pPr>
      <w:proofErr w:type="spellStart"/>
      <w:r w:rsidRPr="00FE210A">
        <w:rPr>
          <w:rFonts w:ascii="Times New Roman" w:hAnsi="Times New Roman" w:cs="Times New Roman"/>
        </w:rPr>
        <w:t>Saama</w:t>
      </w:r>
      <w:proofErr w:type="spellEnd"/>
      <w:r w:rsidRPr="00FE210A">
        <w:rPr>
          <w:rFonts w:ascii="Times New Roman" w:hAnsi="Times New Roman" w:cs="Times New Roman"/>
        </w:rPr>
        <w:t xml:space="preserve"> Technologies </w:t>
      </w:r>
      <w:proofErr w:type="gramStart"/>
      <w:r w:rsidRPr="00FE210A">
        <w:rPr>
          <w:rFonts w:ascii="Times New Roman" w:hAnsi="Times New Roman" w:cs="Times New Roman"/>
        </w:rPr>
        <w:t>LLC.,</w:t>
      </w:r>
      <w:proofErr w:type="gramEnd"/>
      <w:r w:rsidRPr="00FE210A">
        <w:rPr>
          <w:rFonts w:ascii="Times New Roman" w:hAnsi="Times New Roman" w:cs="Times New Roman"/>
        </w:rPr>
        <w:t xml:space="preserve"> </w:t>
      </w:r>
      <w:r w:rsidR="001F4B97">
        <w:rPr>
          <w:rFonts w:ascii="Times New Roman" w:hAnsi="Times New Roman" w:cs="Times New Roman"/>
        </w:rPr>
        <w:t>India</w:t>
      </w:r>
    </w:p>
    <w:p w:rsidR="00FE210A" w:rsidRPr="00FE210A" w:rsidRDefault="00FE210A" w:rsidP="00FE210A">
      <w:pPr>
        <w:jc w:val="center"/>
        <w:rPr>
          <w:rFonts w:ascii="Times New Roman" w:hAnsi="Times New Roman" w:cs="Times New Roman"/>
          <w:b/>
          <w:sz w:val="24"/>
        </w:rPr>
      </w:pPr>
      <w:r w:rsidRPr="00FE210A">
        <w:rPr>
          <w:rFonts w:ascii="Times New Roman" w:hAnsi="Times New Roman" w:cs="Times New Roman"/>
          <w:b/>
          <w:sz w:val="24"/>
        </w:rPr>
        <w:t>Abstract</w:t>
      </w:r>
    </w:p>
    <w:p w:rsidR="00FE210A" w:rsidRPr="00FE210A" w:rsidRDefault="00FE210A" w:rsidP="00FE210A">
      <w:pPr>
        <w:jc w:val="both"/>
        <w:rPr>
          <w:rFonts w:ascii="Times New Roman" w:hAnsi="Times New Roman" w:cs="Times New Roman"/>
          <w:sz w:val="20"/>
        </w:rPr>
      </w:pPr>
      <w:r w:rsidRPr="00FE210A">
        <w:rPr>
          <w:rFonts w:ascii="Times New Roman" w:hAnsi="Times New Roman" w:cs="Times New Roman"/>
          <w:sz w:val="20"/>
        </w:rPr>
        <w:t>Democratization of data by making it av</w:t>
      </w:r>
      <w:r w:rsidR="001F4B97">
        <w:rPr>
          <w:rFonts w:ascii="Times New Roman" w:hAnsi="Times New Roman" w:cs="Times New Roman"/>
          <w:sz w:val="20"/>
        </w:rPr>
        <w:t>ailable to non-data specialists–such as marketers, sales and supply chain professionals–</w:t>
      </w:r>
      <w:r w:rsidRPr="00FE210A">
        <w:rPr>
          <w:rFonts w:ascii="Times New Roman" w:hAnsi="Times New Roman" w:cs="Times New Roman"/>
          <w:sz w:val="20"/>
        </w:rPr>
        <w:t>helps teams obtain value-adding insight and deliver better business outcomes. The issue arises when a user has a potential intent to de-</w:t>
      </w:r>
      <w:proofErr w:type="spellStart"/>
      <w:r w:rsidRPr="00FE210A">
        <w:rPr>
          <w:rFonts w:ascii="Times New Roman" w:hAnsi="Times New Roman" w:cs="Times New Roman"/>
          <w:sz w:val="20"/>
        </w:rPr>
        <w:t>anonymize</w:t>
      </w:r>
      <w:proofErr w:type="spellEnd"/>
      <w:r w:rsidRPr="00FE210A">
        <w:rPr>
          <w:rFonts w:ascii="Times New Roman" w:hAnsi="Times New Roman" w:cs="Times New Roman"/>
          <w:sz w:val="20"/>
        </w:rPr>
        <w:t xml:space="preserve"> such data and identify sensitive, even PII data with high certainty. By implementing intent-driven governance modern data solutions can allow all stakeholders to enjoy the democratization and </w:t>
      </w:r>
      <w:proofErr w:type="spellStart"/>
      <w:r w:rsidRPr="00FE210A">
        <w:rPr>
          <w:rFonts w:ascii="Times New Roman" w:hAnsi="Times New Roman" w:cs="Times New Roman"/>
          <w:sz w:val="20"/>
        </w:rPr>
        <w:t>Assetization</w:t>
      </w:r>
      <w:proofErr w:type="spellEnd"/>
      <w:r w:rsidRPr="00FE210A">
        <w:rPr>
          <w:rFonts w:ascii="Times New Roman" w:hAnsi="Times New Roman" w:cs="Times New Roman"/>
          <w:sz w:val="20"/>
        </w:rPr>
        <w:t xml:space="preserve"> of data. An AI/ML-based intent-driven governance solution can scale to billions of events, it can ‘</w:t>
      </w:r>
      <w:r w:rsidR="001F4B97">
        <w:rPr>
          <w:rFonts w:ascii="Times New Roman" w:hAnsi="Times New Roman" w:cs="Times New Roman"/>
          <w:sz w:val="20"/>
        </w:rPr>
        <w:t>recognize’ new, unseen patterns</w:t>
      </w:r>
      <w:r w:rsidRPr="00FE210A">
        <w:rPr>
          <w:rFonts w:ascii="Times New Roman" w:hAnsi="Times New Roman" w:cs="Times New Roman"/>
          <w:sz w:val="20"/>
        </w:rPr>
        <w:t xml:space="preserve"> and it can make correct judgments reliably and repeatedly. </w:t>
      </w:r>
    </w:p>
    <w:p w:rsidR="00FE210A" w:rsidRPr="00FE210A" w:rsidRDefault="00FE210A" w:rsidP="00FE210A">
      <w:pPr>
        <w:jc w:val="both"/>
        <w:rPr>
          <w:rFonts w:ascii="Times New Roman" w:hAnsi="Times New Roman" w:cs="Times New Roman"/>
          <w:sz w:val="20"/>
        </w:rPr>
      </w:pPr>
      <w:r w:rsidRPr="00FE210A">
        <w:rPr>
          <w:rFonts w:ascii="Times New Roman" w:hAnsi="Times New Roman" w:cs="Times New Roman"/>
          <w:sz w:val="20"/>
        </w:rPr>
        <w:t>An AI-based intent-driven governance solution can scale to billions of events, it can ‘recogn</w:t>
      </w:r>
      <w:r w:rsidR="001F4B97">
        <w:rPr>
          <w:rFonts w:ascii="Times New Roman" w:hAnsi="Times New Roman" w:cs="Times New Roman"/>
          <w:sz w:val="20"/>
        </w:rPr>
        <w:t>ize’ new, unseen patterns</w:t>
      </w:r>
      <w:r w:rsidRPr="00FE210A">
        <w:rPr>
          <w:rFonts w:ascii="Times New Roman" w:hAnsi="Times New Roman" w:cs="Times New Roman"/>
          <w:sz w:val="20"/>
        </w:rPr>
        <w:t xml:space="preserve"> and it can make correct judgments reliably and repeatedly. At </w:t>
      </w:r>
      <w:r w:rsidRPr="00FE210A">
        <w:rPr>
          <w:rFonts w:ascii="Times New Roman" w:hAnsi="Times New Roman" w:cs="Times New Roman"/>
          <w:sz w:val="20"/>
        </w:rPr>
        <w:t>its</w:t>
      </w:r>
      <w:r w:rsidRPr="00FE210A">
        <w:rPr>
          <w:rFonts w:ascii="Times New Roman" w:hAnsi="Times New Roman" w:cs="Times New Roman"/>
          <w:sz w:val="20"/>
        </w:rPr>
        <w:t xml:space="preserve"> core such a model can provide three levels of filter to the query outputs:</w:t>
      </w:r>
    </w:p>
    <w:p w:rsidR="00FE210A" w:rsidRPr="00FE210A" w:rsidRDefault="00FE210A" w:rsidP="00FE210A">
      <w:pPr>
        <w:pStyle w:val="ListParagraph"/>
        <w:numPr>
          <w:ilvl w:val="0"/>
          <w:numId w:val="1"/>
        </w:numPr>
        <w:jc w:val="both"/>
        <w:rPr>
          <w:rFonts w:ascii="Times New Roman" w:hAnsi="Times New Roman" w:cs="Times New Roman"/>
          <w:sz w:val="20"/>
        </w:rPr>
      </w:pPr>
      <w:r w:rsidRPr="00FE210A">
        <w:rPr>
          <w:rFonts w:ascii="Times New Roman" w:hAnsi="Times New Roman" w:cs="Times New Roman"/>
          <w:sz w:val="20"/>
        </w:rPr>
        <w:t>For ‘benign intent’ the result or insights are cleared for being returned to the user</w:t>
      </w:r>
      <w:r w:rsidR="001F4B97">
        <w:rPr>
          <w:rFonts w:ascii="Times New Roman" w:hAnsi="Times New Roman" w:cs="Times New Roman"/>
          <w:sz w:val="20"/>
        </w:rPr>
        <w:t>.</w:t>
      </w:r>
    </w:p>
    <w:p w:rsidR="00FE210A" w:rsidRPr="00FE210A" w:rsidRDefault="00FE210A" w:rsidP="00FE210A">
      <w:pPr>
        <w:pStyle w:val="ListParagraph"/>
        <w:numPr>
          <w:ilvl w:val="0"/>
          <w:numId w:val="1"/>
        </w:numPr>
        <w:jc w:val="both"/>
        <w:rPr>
          <w:rFonts w:ascii="Times New Roman" w:hAnsi="Times New Roman" w:cs="Times New Roman"/>
          <w:sz w:val="20"/>
        </w:rPr>
      </w:pPr>
      <w:r w:rsidRPr="00FE210A">
        <w:rPr>
          <w:rFonts w:ascii="Times New Roman" w:hAnsi="Times New Roman" w:cs="Times New Roman"/>
          <w:sz w:val="20"/>
        </w:rPr>
        <w:t>Where there is room for doubt, as defined by the model threshold values, certain query data attribute values be masked or shifted by enough synthetic noise to defeat de-</w:t>
      </w:r>
      <w:proofErr w:type="spellStart"/>
      <w:r w:rsidRPr="00FE210A">
        <w:rPr>
          <w:rFonts w:ascii="Times New Roman" w:hAnsi="Times New Roman" w:cs="Times New Roman"/>
          <w:sz w:val="20"/>
        </w:rPr>
        <w:t>anonymization</w:t>
      </w:r>
      <w:proofErr w:type="spellEnd"/>
      <w:r w:rsidRPr="00FE210A">
        <w:rPr>
          <w:rFonts w:ascii="Times New Roman" w:hAnsi="Times New Roman" w:cs="Times New Roman"/>
          <w:sz w:val="20"/>
        </w:rPr>
        <w:t xml:space="preserve"> attempts. Apple has taken this approach forward to a great extent with Differential Privacy</w:t>
      </w:r>
      <w:r w:rsidR="001F4B97">
        <w:rPr>
          <w:rFonts w:ascii="Times New Roman" w:hAnsi="Times New Roman" w:cs="Times New Roman"/>
          <w:sz w:val="20"/>
        </w:rPr>
        <w:t>.</w:t>
      </w:r>
      <w:r w:rsidR="000C09A5">
        <w:rPr>
          <w:rFonts w:ascii="Times New Roman" w:hAnsi="Times New Roman" w:cs="Times New Roman"/>
          <w:sz w:val="20"/>
        </w:rPr>
        <w:t xml:space="preserve"> </w:t>
      </w:r>
    </w:p>
    <w:p w:rsidR="00FE210A" w:rsidRPr="00FE210A" w:rsidRDefault="00FE210A" w:rsidP="00FE210A">
      <w:pPr>
        <w:pStyle w:val="ListParagraph"/>
        <w:numPr>
          <w:ilvl w:val="0"/>
          <w:numId w:val="1"/>
        </w:numPr>
        <w:jc w:val="both"/>
        <w:rPr>
          <w:rFonts w:ascii="Times New Roman" w:hAnsi="Times New Roman" w:cs="Times New Roman"/>
          <w:sz w:val="20"/>
        </w:rPr>
      </w:pPr>
      <w:r w:rsidRPr="00FE210A">
        <w:rPr>
          <w:rFonts w:ascii="Times New Roman" w:hAnsi="Times New Roman" w:cs="Times New Roman"/>
          <w:sz w:val="20"/>
        </w:rPr>
        <w:t>For queries that are flagged as positive or ‘malicious intent’ the response is blocked and data stewards are alerted for review and action. The results are further incorporated into the active learning of the intent governance models.</w:t>
      </w:r>
    </w:p>
    <w:p w:rsidR="00FE210A" w:rsidRDefault="00FE210A" w:rsidP="00FE210A">
      <w:pPr>
        <w:jc w:val="both"/>
        <w:rPr>
          <w:rFonts w:ascii="Times New Roman" w:hAnsi="Times New Roman" w:cs="Times New Roman"/>
          <w:sz w:val="20"/>
        </w:rPr>
      </w:pPr>
      <w:r w:rsidRPr="00FE210A">
        <w:rPr>
          <w:rFonts w:ascii="Times New Roman" w:hAnsi="Times New Roman" w:cs="Times New Roman"/>
          <w:sz w:val="20"/>
        </w:rPr>
        <w:t>Other than PII, fraud detection and prevention is another area of intent-based data security and governance. AI-ML-based approaches show better precision and recall while learning intent from attack vectors, going further than the protection of 2-factor authentication. It is not only about ac</w:t>
      </w:r>
      <w:r>
        <w:rPr>
          <w:rFonts w:ascii="Times New Roman" w:hAnsi="Times New Roman" w:cs="Times New Roman"/>
          <w:sz w:val="20"/>
        </w:rPr>
        <w:t>cess, but patterns and intent–</w:t>
      </w:r>
      <w:r w:rsidRPr="00FE210A">
        <w:rPr>
          <w:rFonts w:ascii="Times New Roman" w:hAnsi="Times New Roman" w:cs="Times New Roman"/>
          <w:sz w:val="20"/>
        </w:rPr>
        <w:t>with intelligent verifications and alerts factored in based on v</w:t>
      </w:r>
      <w:r w:rsidR="001F4B97">
        <w:rPr>
          <w:rFonts w:ascii="Times New Roman" w:hAnsi="Times New Roman" w:cs="Times New Roman"/>
          <w:sz w:val="20"/>
        </w:rPr>
        <w:t>olume, value, location, product</w:t>
      </w:r>
      <w:r w:rsidRPr="00FE210A">
        <w:rPr>
          <w:rFonts w:ascii="Times New Roman" w:hAnsi="Times New Roman" w:cs="Times New Roman"/>
          <w:sz w:val="20"/>
        </w:rPr>
        <w:t xml:space="preserve"> and many other transactional factors.</w:t>
      </w:r>
    </w:p>
    <w:p w:rsidR="001F4B97" w:rsidRPr="001F4B97" w:rsidRDefault="001F4B97" w:rsidP="001F4B97">
      <w:pPr>
        <w:rPr>
          <w:rFonts w:ascii="Times New Roman" w:hAnsi="Times New Roman" w:cs="Times New Roman"/>
          <w:b/>
          <w:sz w:val="24"/>
        </w:rPr>
      </w:pPr>
      <w:r w:rsidRPr="001F4B97">
        <w:rPr>
          <w:rFonts w:ascii="Times New Roman" w:hAnsi="Times New Roman" w:cs="Times New Roman"/>
          <w:b/>
          <w:sz w:val="24"/>
        </w:rPr>
        <w:t>Biography</w:t>
      </w:r>
    </w:p>
    <w:p w:rsidR="001F4B97" w:rsidRPr="00FE210A" w:rsidRDefault="001F4B97" w:rsidP="00FE210A">
      <w:pPr>
        <w:jc w:val="both"/>
        <w:rPr>
          <w:rFonts w:ascii="Times New Roman" w:hAnsi="Times New Roman" w:cs="Times New Roman"/>
          <w:sz w:val="20"/>
        </w:rPr>
      </w:pPr>
      <w:r w:rsidRPr="001F4B97">
        <w:rPr>
          <w:rFonts w:ascii="Times New Roman" w:hAnsi="Times New Roman" w:cs="Times New Roman"/>
          <w:sz w:val="20"/>
        </w:rPr>
        <w:t xml:space="preserve">Joy Mukherjee has charted out strategic data &amp; analytics transformation roadmaps for multiple fortune 500 firms, advising and assisting them in realizing ambitious goals aligned with a data-driven organization. He heads the business consulting (data &amp; analytics) practice at </w:t>
      </w:r>
      <w:proofErr w:type="spellStart"/>
      <w:r w:rsidRPr="001F4B97">
        <w:rPr>
          <w:rFonts w:ascii="Times New Roman" w:hAnsi="Times New Roman" w:cs="Times New Roman"/>
          <w:sz w:val="20"/>
        </w:rPr>
        <w:t>Saama</w:t>
      </w:r>
      <w:proofErr w:type="spellEnd"/>
      <w:r w:rsidRPr="001F4B97">
        <w:rPr>
          <w:rFonts w:ascii="Times New Roman" w:hAnsi="Times New Roman" w:cs="Times New Roman"/>
          <w:sz w:val="20"/>
        </w:rPr>
        <w:t xml:space="preserve">, the #1 company in AI solutions for clinical trials in the Life Sciences industry. An industry veteran of 22 years, he has published multiple white papers and holds advanced AI accreditation from MIT, an R&amp;D award from LMU Munich, </w:t>
      </w:r>
      <w:r>
        <w:rPr>
          <w:rFonts w:ascii="Times New Roman" w:hAnsi="Times New Roman" w:cs="Times New Roman"/>
          <w:sz w:val="20"/>
        </w:rPr>
        <w:t>MBA from SMU</w:t>
      </w:r>
      <w:r w:rsidRPr="001F4B97">
        <w:rPr>
          <w:rFonts w:ascii="Times New Roman" w:hAnsi="Times New Roman" w:cs="Times New Roman"/>
          <w:sz w:val="20"/>
        </w:rPr>
        <w:t xml:space="preserve"> and B.E. from IIES.</w:t>
      </w:r>
      <w:bookmarkEnd w:id="0"/>
    </w:p>
    <w:sectPr w:rsidR="001F4B97" w:rsidRPr="00FE21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193686"/>
    <w:multiLevelType w:val="hybridMultilevel"/>
    <w:tmpl w:val="06A8D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10A"/>
    <w:rsid w:val="000C09A5"/>
    <w:rsid w:val="001F4B97"/>
    <w:rsid w:val="00474203"/>
    <w:rsid w:val="00535872"/>
    <w:rsid w:val="00924B33"/>
    <w:rsid w:val="00FE2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210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21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2023-01-09T11:23:00Z</dcterms:created>
  <dcterms:modified xsi:type="dcterms:W3CDTF">2023-01-09T11:48:00Z</dcterms:modified>
</cp:coreProperties>
</file>