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36B24">
      <w:pPr>
        <w:rPr>
          <w:rFonts w:ascii="Times New Roman" w:hAnsi="Times New Roman" w:cs="Times New Roman"/>
          <w:b/>
          <w:sz w:val="32"/>
        </w:rPr>
      </w:pPr>
      <w:bookmarkStart w:id="0" w:name="_GoBack"/>
      <w:r w:rsidRPr="00236B24">
        <w:rPr>
          <w:rFonts w:ascii="Times New Roman" w:hAnsi="Times New Roman" w:cs="Times New Roman"/>
          <w:b/>
          <w:sz w:val="32"/>
        </w:rPr>
        <w:t xml:space="preserve">Non-invasive </w:t>
      </w:r>
      <w:proofErr w:type="spellStart"/>
      <w:r w:rsidRPr="00236B24">
        <w:rPr>
          <w:rFonts w:ascii="Times New Roman" w:hAnsi="Times New Roman" w:cs="Times New Roman"/>
          <w:b/>
          <w:sz w:val="32"/>
        </w:rPr>
        <w:t>preimplantation</w:t>
      </w:r>
      <w:proofErr w:type="spellEnd"/>
      <w:r w:rsidRPr="00236B24">
        <w:rPr>
          <w:rFonts w:ascii="Times New Roman" w:hAnsi="Times New Roman" w:cs="Times New Roman"/>
          <w:b/>
          <w:sz w:val="32"/>
        </w:rPr>
        <w:t xml:space="preserve"> genetic diagnostics</w:t>
      </w:r>
    </w:p>
    <w:p w:rsidR="00236B24" w:rsidRDefault="00236B24">
      <w:pPr>
        <w:rPr>
          <w:rFonts w:ascii="Times New Roman" w:hAnsi="Times New Roman" w:cs="Times New Roman"/>
          <w:sz w:val="24"/>
        </w:rPr>
      </w:pPr>
      <w:r w:rsidRPr="00236B24">
        <w:rPr>
          <w:rFonts w:ascii="Times New Roman" w:hAnsi="Times New Roman" w:cs="Times New Roman"/>
          <w:sz w:val="24"/>
        </w:rPr>
        <w:t xml:space="preserve">Henrietta </w:t>
      </w:r>
      <w:proofErr w:type="spellStart"/>
      <w:r w:rsidRPr="00236B24">
        <w:rPr>
          <w:rFonts w:ascii="Times New Roman" w:hAnsi="Times New Roman" w:cs="Times New Roman"/>
          <w:sz w:val="24"/>
        </w:rPr>
        <w:t>Orsolya</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Gell</w:t>
      </w:r>
      <w:r>
        <w:rPr>
          <w:rFonts w:ascii="Times New Roman" w:hAnsi="Times New Roman" w:cs="Times New Roman"/>
          <w:sz w:val="24"/>
        </w:rPr>
        <w:t>e</w:t>
      </w:r>
      <w:r w:rsidRPr="00236B24">
        <w:rPr>
          <w:rFonts w:ascii="Times New Roman" w:hAnsi="Times New Roman" w:cs="Times New Roman"/>
          <w:sz w:val="24"/>
        </w:rPr>
        <w:t>n</w:t>
      </w:r>
      <w:proofErr w:type="spellEnd"/>
      <w:r>
        <w:rPr>
          <w:rFonts w:ascii="Times New Roman" w:hAnsi="Times New Roman" w:cs="Times New Roman"/>
          <w:sz w:val="24"/>
        </w:rPr>
        <w:t xml:space="preserve">*, </w:t>
      </w:r>
      <w:proofErr w:type="spellStart"/>
      <w:r>
        <w:rPr>
          <w:rFonts w:ascii="Times New Roman" w:hAnsi="Times New Roman" w:cs="Times New Roman"/>
          <w:sz w:val="24"/>
        </w:rPr>
        <w:t>Katalin</w:t>
      </w:r>
      <w:proofErr w:type="spellEnd"/>
      <w:r>
        <w:rPr>
          <w:rFonts w:ascii="Times New Roman" w:hAnsi="Times New Roman" w:cs="Times New Roman"/>
          <w:sz w:val="24"/>
        </w:rPr>
        <w:t xml:space="preserve"> </w:t>
      </w:r>
      <w:proofErr w:type="spellStart"/>
      <w:r>
        <w:rPr>
          <w:rFonts w:ascii="Times New Roman" w:hAnsi="Times New Roman" w:cs="Times New Roman"/>
          <w:sz w:val="24"/>
        </w:rPr>
        <w:t>Gombos</w:t>
      </w:r>
      <w:proofErr w:type="spellEnd"/>
      <w:r>
        <w:rPr>
          <w:rFonts w:ascii="Times New Roman" w:hAnsi="Times New Roman" w:cs="Times New Roman"/>
          <w:sz w:val="24"/>
        </w:rPr>
        <w:t xml:space="preserve">, </w:t>
      </w:r>
      <w:proofErr w:type="spellStart"/>
      <w:r>
        <w:rPr>
          <w:rFonts w:ascii="Times New Roman" w:hAnsi="Times New Roman" w:cs="Times New Roman"/>
          <w:sz w:val="24"/>
        </w:rPr>
        <w:t>Bence</w:t>
      </w:r>
      <w:proofErr w:type="spellEnd"/>
      <w:r>
        <w:rPr>
          <w:rFonts w:ascii="Times New Roman" w:hAnsi="Times New Roman" w:cs="Times New Roman"/>
          <w:sz w:val="24"/>
        </w:rPr>
        <w:t xml:space="preserve"> </w:t>
      </w:r>
      <w:proofErr w:type="spellStart"/>
      <w:r>
        <w:rPr>
          <w:rFonts w:ascii="Times New Roman" w:hAnsi="Times New Roman" w:cs="Times New Roman"/>
          <w:sz w:val="24"/>
        </w:rPr>
        <w:t>Galik</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Krisztina</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Fut</w:t>
      </w:r>
      <w:r>
        <w:rPr>
          <w:rFonts w:ascii="Times New Roman" w:hAnsi="Times New Roman" w:cs="Times New Roman"/>
          <w:sz w:val="24"/>
        </w:rPr>
        <w:t>a</w:t>
      </w:r>
      <w:r w:rsidRPr="00236B24">
        <w:rPr>
          <w:rFonts w:ascii="Times New Roman" w:hAnsi="Times New Roman" w:cs="Times New Roman"/>
          <w:sz w:val="24"/>
        </w:rPr>
        <w:t>cs</w:t>
      </w:r>
      <w:proofErr w:type="spellEnd"/>
      <w:r>
        <w:rPr>
          <w:rFonts w:ascii="Times New Roman" w:hAnsi="Times New Roman" w:cs="Times New Roman"/>
          <w:sz w:val="24"/>
        </w:rPr>
        <w:t xml:space="preserve">, </w:t>
      </w:r>
      <w:proofErr w:type="spellStart"/>
      <w:r>
        <w:rPr>
          <w:rFonts w:ascii="Times New Roman" w:hAnsi="Times New Roman" w:cs="Times New Roman"/>
          <w:sz w:val="24"/>
        </w:rPr>
        <w:t>Krisztina</w:t>
      </w:r>
      <w:proofErr w:type="spellEnd"/>
      <w:r>
        <w:rPr>
          <w:rFonts w:ascii="Times New Roman" w:hAnsi="Times New Roman" w:cs="Times New Roman"/>
          <w:sz w:val="24"/>
        </w:rPr>
        <w:t xml:space="preserve"> </w:t>
      </w:r>
      <w:proofErr w:type="spellStart"/>
      <w:r>
        <w:rPr>
          <w:rFonts w:ascii="Times New Roman" w:hAnsi="Times New Roman" w:cs="Times New Roman"/>
          <w:sz w:val="24"/>
        </w:rPr>
        <w:t>Ildiko</w:t>
      </w:r>
      <w:proofErr w:type="spellEnd"/>
      <w:r w:rsidR="00D92F1F">
        <w:rPr>
          <w:rFonts w:ascii="Times New Roman" w:hAnsi="Times New Roman" w:cs="Times New Roman"/>
          <w:sz w:val="24"/>
        </w:rPr>
        <w:t xml:space="preserve"> </w:t>
      </w:r>
      <w:proofErr w:type="spellStart"/>
      <w:r>
        <w:rPr>
          <w:rFonts w:ascii="Times New Roman" w:hAnsi="Times New Roman" w:cs="Times New Roman"/>
          <w:sz w:val="24"/>
        </w:rPr>
        <w:t>Szabo-Kalacs</w:t>
      </w:r>
      <w:proofErr w:type="spellEnd"/>
      <w:r w:rsidRPr="00236B24">
        <w:rPr>
          <w:rFonts w:ascii="Times New Roman" w:hAnsi="Times New Roman" w:cs="Times New Roman"/>
          <w:sz w:val="24"/>
        </w:rPr>
        <w:t xml:space="preserve">, </w:t>
      </w:r>
      <w:proofErr w:type="spellStart"/>
      <w:r>
        <w:rPr>
          <w:rFonts w:ascii="Times New Roman" w:hAnsi="Times New Roman" w:cs="Times New Roman"/>
          <w:sz w:val="24"/>
        </w:rPr>
        <w:t>A</w:t>
      </w:r>
      <w:r w:rsidRPr="00236B24">
        <w:rPr>
          <w:rFonts w:ascii="Times New Roman" w:hAnsi="Times New Roman" w:cs="Times New Roman"/>
          <w:sz w:val="24"/>
        </w:rPr>
        <w:t>kos</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V</w:t>
      </w:r>
      <w:r>
        <w:rPr>
          <w:rFonts w:ascii="Times New Roman" w:hAnsi="Times New Roman" w:cs="Times New Roman"/>
          <w:sz w:val="24"/>
        </w:rPr>
        <w:t>a</w:t>
      </w:r>
      <w:r w:rsidRPr="00236B24">
        <w:rPr>
          <w:rFonts w:ascii="Times New Roman" w:hAnsi="Times New Roman" w:cs="Times New Roman"/>
          <w:sz w:val="24"/>
        </w:rPr>
        <w:t>rnagy</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J</w:t>
      </w:r>
      <w:r>
        <w:rPr>
          <w:rFonts w:ascii="Times New Roman" w:hAnsi="Times New Roman" w:cs="Times New Roman"/>
          <w:sz w:val="24"/>
        </w:rPr>
        <w:t>o</w:t>
      </w:r>
      <w:r w:rsidRPr="00236B24">
        <w:rPr>
          <w:rFonts w:ascii="Times New Roman" w:hAnsi="Times New Roman" w:cs="Times New Roman"/>
          <w:sz w:val="24"/>
        </w:rPr>
        <w:t>zsef</w:t>
      </w:r>
      <w:proofErr w:type="spellEnd"/>
      <w:r w:rsidRPr="00236B24">
        <w:rPr>
          <w:rFonts w:ascii="Times New Roman" w:hAnsi="Times New Roman" w:cs="Times New Roman"/>
          <w:sz w:val="24"/>
        </w:rPr>
        <w:t xml:space="preserve"> </w:t>
      </w:r>
      <w:proofErr w:type="spellStart"/>
      <w:r w:rsidRPr="00236B24">
        <w:rPr>
          <w:rFonts w:ascii="Times New Roman" w:hAnsi="Times New Roman" w:cs="Times New Roman"/>
          <w:sz w:val="24"/>
        </w:rPr>
        <w:t>B</w:t>
      </w:r>
      <w:r>
        <w:rPr>
          <w:rFonts w:ascii="Times New Roman" w:hAnsi="Times New Roman" w:cs="Times New Roman"/>
          <w:sz w:val="24"/>
        </w:rPr>
        <w:t>o</w:t>
      </w:r>
      <w:r w:rsidRPr="00236B24">
        <w:rPr>
          <w:rFonts w:ascii="Times New Roman" w:hAnsi="Times New Roman" w:cs="Times New Roman"/>
          <w:sz w:val="24"/>
        </w:rPr>
        <w:t>dis</w:t>
      </w:r>
      <w:proofErr w:type="spellEnd"/>
      <w:r>
        <w:rPr>
          <w:rFonts w:ascii="Times New Roman" w:hAnsi="Times New Roman" w:cs="Times New Roman"/>
          <w:sz w:val="24"/>
        </w:rPr>
        <w:t xml:space="preserve">, Attila </w:t>
      </w:r>
      <w:proofErr w:type="spellStart"/>
      <w:r>
        <w:rPr>
          <w:rFonts w:ascii="Times New Roman" w:hAnsi="Times New Roman" w:cs="Times New Roman"/>
          <w:sz w:val="24"/>
        </w:rPr>
        <w:t>Gyenesei</w:t>
      </w:r>
      <w:proofErr w:type="spellEnd"/>
      <w:r>
        <w:rPr>
          <w:rFonts w:ascii="Times New Roman" w:hAnsi="Times New Roman" w:cs="Times New Roman"/>
          <w:sz w:val="24"/>
        </w:rPr>
        <w:t>,</w:t>
      </w:r>
      <w:r w:rsidRPr="00236B24">
        <w:rPr>
          <w:rFonts w:ascii="Times New Roman" w:hAnsi="Times New Roman" w:cs="Times New Roman"/>
          <w:sz w:val="24"/>
        </w:rPr>
        <w:t xml:space="preserve"> P</w:t>
      </w:r>
      <w:r>
        <w:rPr>
          <w:rFonts w:ascii="Times New Roman" w:hAnsi="Times New Roman" w:cs="Times New Roman"/>
          <w:sz w:val="24"/>
        </w:rPr>
        <w:t>e</w:t>
      </w:r>
      <w:r w:rsidRPr="00236B24">
        <w:rPr>
          <w:rFonts w:ascii="Times New Roman" w:hAnsi="Times New Roman" w:cs="Times New Roman"/>
          <w:sz w:val="24"/>
        </w:rPr>
        <w:t>ter Urb</w:t>
      </w:r>
      <w:r>
        <w:rPr>
          <w:rFonts w:ascii="Times New Roman" w:hAnsi="Times New Roman" w:cs="Times New Roman"/>
          <w:sz w:val="24"/>
        </w:rPr>
        <w:t>a</w:t>
      </w:r>
      <w:r w:rsidRPr="00236B24">
        <w:rPr>
          <w:rFonts w:ascii="Times New Roman" w:hAnsi="Times New Roman" w:cs="Times New Roman"/>
          <w:sz w:val="24"/>
        </w:rPr>
        <w:t>n</w:t>
      </w:r>
      <w:r>
        <w:rPr>
          <w:rFonts w:ascii="Times New Roman" w:hAnsi="Times New Roman" w:cs="Times New Roman"/>
          <w:sz w:val="24"/>
        </w:rPr>
        <w:t xml:space="preserve"> and Gabor L. Kovacs</w:t>
      </w:r>
    </w:p>
    <w:p w:rsidR="00236B24" w:rsidRPr="00236B24" w:rsidRDefault="00236B24">
      <w:pPr>
        <w:rPr>
          <w:rFonts w:ascii="Times New Roman" w:hAnsi="Times New Roman" w:cs="Times New Roman"/>
        </w:rPr>
      </w:pPr>
      <w:r w:rsidRPr="00236B24">
        <w:rPr>
          <w:rFonts w:ascii="Times New Roman" w:hAnsi="Times New Roman" w:cs="Times New Roman"/>
        </w:rPr>
        <w:t xml:space="preserve">University of </w:t>
      </w:r>
      <w:proofErr w:type="spellStart"/>
      <w:r w:rsidRPr="00236B24">
        <w:rPr>
          <w:rFonts w:ascii="Times New Roman" w:hAnsi="Times New Roman" w:cs="Times New Roman"/>
        </w:rPr>
        <w:t>Pecs</w:t>
      </w:r>
      <w:proofErr w:type="spellEnd"/>
      <w:r w:rsidRPr="00236B24">
        <w:rPr>
          <w:rFonts w:ascii="Times New Roman" w:hAnsi="Times New Roman" w:cs="Times New Roman"/>
        </w:rPr>
        <w:t>, Hungary</w:t>
      </w:r>
    </w:p>
    <w:p w:rsidR="00236B24" w:rsidRPr="00236B24" w:rsidRDefault="00236B24" w:rsidP="00236B24">
      <w:pPr>
        <w:jc w:val="center"/>
        <w:rPr>
          <w:rFonts w:ascii="Times New Roman" w:hAnsi="Times New Roman" w:cs="Times New Roman"/>
          <w:b/>
          <w:sz w:val="24"/>
        </w:rPr>
      </w:pPr>
      <w:r w:rsidRPr="00236B24">
        <w:rPr>
          <w:rFonts w:ascii="Times New Roman" w:hAnsi="Times New Roman" w:cs="Times New Roman"/>
          <w:b/>
          <w:sz w:val="24"/>
        </w:rPr>
        <w:t>Abstract</w:t>
      </w:r>
    </w:p>
    <w:p w:rsidR="00236B24" w:rsidRPr="00236B24" w:rsidRDefault="00236B24" w:rsidP="00236B24">
      <w:pPr>
        <w:jc w:val="both"/>
        <w:rPr>
          <w:rFonts w:ascii="Times New Roman" w:hAnsi="Times New Roman" w:cs="Times New Roman"/>
          <w:sz w:val="20"/>
        </w:rPr>
      </w:pPr>
      <w:r w:rsidRPr="00236B24">
        <w:rPr>
          <w:rFonts w:ascii="Times New Roman" w:hAnsi="Times New Roman" w:cs="Times New Roman"/>
          <w:b/>
          <w:sz w:val="20"/>
        </w:rPr>
        <w:t xml:space="preserve">Statement of the </w:t>
      </w:r>
      <w:r w:rsidRPr="00236B24">
        <w:rPr>
          <w:rFonts w:ascii="Times New Roman" w:hAnsi="Times New Roman" w:cs="Times New Roman"/>
          <w:b/>
          <w:sz w:val="20"/>
        </w:rPr>
        <w:t>problem</w:t>
      </w:r>
      <w:r w:rsidRPr="00236B24">
        <w:rPr>
          <w:rFonts w:ascii="Times New Roman" w:hAnsi="Times New Roman" w:cs="Times New Roman"/>
          <w:b/>
          <w:sz w:val="20"/>
        </w:rPr>
        <w:t>:</w:t>
      </w:r>
      <w:r w:rsidRPr="00236B24">
        <w:rPr>
          <w:rFonts w:ascii="Times New Roman" w:hAnsi="Times New Roman" w:cs="Times New Roman"/>
          <w:sz w:val="20"/>
        </w:rPr>
        <w:t xml:space="preserve"> The number of assisted reproductive techniques is increasing due to rising infertility rates in highly industrialized countries. Advanced maternal age increases the risk of fetal aneuploidy, reducing implantation and successful pregnancy chances. Non-invasive pre-implantation genetic testing for aneuploidy has potential, but its practical implementation in routine IVF centers is yet to begin. Our work group developed a clinically applicable NIPGT strategy using </w:t>
      </w:r>
      <w:r w:rsidRPr="00236B24">
        <w:rPr>
          <w:rFonts w:ascii="Times New Roman" w:hAnsi="Times New Roman" w:cs="Times New Roman"/>
          <w:sz w:val="20"/>
        </w:rPr>
        <w:t xml:space="preserve">Spent Culture Media </w:t>
      </w:r>
      <w:r w:rsidRPr="00236B24">
        <w:rPr>
          <w:rFonts w:ascii="Times New Roman" w:hAnsi="Times New Roman" w:cs="Times New Roman"/>
          <w:sz w:val="20"/>
        </w:rPr>
        <w:t xml:space="preserve">(SCM) for testing embryos, based on </w:t>
      </w:r>
      <w:r w:rsidRPr="00236B24">
        <w:rPr>
          <w:rFonts w:ascii="Times New Roman" w:hAnsi="Times New Roman" w:cs="Times New Roman"/>
          <w:sz w:val="20"/>
        </w:rPr>
        <w:t>Next-Generation Sequencing</w:t>
      </w:r>
      <w:r w:rsidRPr="00236B24">
        <w:rPr>
          <w:rFonts w:ascii="Times New Roman" w:hAnsi="Times New Roman" w:cs="Times New Roman"/>
          <w:sz w:val="20"/>
        </w:rPr>
        <w:t xml:space="preserve"> (NGS) technology.</w:t>
      </w:r>
    </w:p>
    <w:p w:rsidR="00236B24" w:rsidRDefault="00236B24" w:rsidP="00236B24">
      <w:pPr>
        <w:jc w:val="both"/>
        <w:rPr>
          <w:rFonts w:ascii="Times New Roman" w:hAnsi="Times New Roman" w:cs="Times New Roman"/>
          <w:sz w:val="20"/>
        </w:rPr>
      </w:pPr>
      <w:r w:rsidRPr="00236B24">
        <w:rPr>
          <w:rFonts w:ascii="Times New Roman" w:hAnsi="Times New Roman" w:cs="Times New Roman"/>
          <w:b/>
          <w:sz w:val="20"/>
        </w:rPr>
        <w:t xml:space="preserve">Methodology </w:t>
      </w:r>
      <w:r w:rsidRPr="00236B24">
        <w:rPr>
          <w:rFonts w:ascii="Times New Roman" w:hAnsi="Times New Roman" w:cs="Times New Roman"/>
          <w:b/>
          <w:sz w:val="20"/>
        </w:rPr>
        <w:t>and</w:t>
      </w:r>
      <w:r w:rsidRPr="00236B24">
        <w:rPr>
          <w:rFonts w:ascii="Times New Roman" w:hAnsi="Times New Roman" w:cs="Times New Roman"/>
          <w:b/>
          <w:sz w:val="20"/>
        </w:rPr>
        <w:t xml:space="preserve"> </w:t>
      </w:r>
      <w:r w:rsidRPr="00236B24">
        <w:rPr>
          <w:rFonts w:ascii="Times New Roman" w:hAnsi="Times New Roman" w:cs="Times New Roman"/>
          <w:b/>
          <w:sz w:val="20"/>
        </w:rPr>
        <w:t>theoretical orientation</w:t>
      </w:r>
      <w:r w:rsidRPr="00236B24">
        <w:rPr>
          <w:rFonts w:ascii="Times New Roman" w:hAnsi="Times New Roman" w:cs="Times New Roman"/>
          <w:b/>
          <w:sz w:val="20"/>
        </w:rPr>
        <w:t>:</w:t>
      </w:r>
      <w:r w:rsidRPr="00236B24">
        <w:rPr>
          <w:rFonts w:ascii="Times New Roman" w:hAnsi="Times New Roman" w:cs="Times New Roman"/>
          <w:sz w:val="20"/>
        </w:rPr>
        <w:t xml:space="preserve"> For our proof-of concept study we sequenced cell-free embryonic DNA from SCM of Day 3 and Day 5 embryos fertilized with </w:t>
      </w:r>
      <w:r w:rsidRPr="00236B24">
        <w:rPr>
          <w:rFonts w:ascii="Times New Roman" w:hAnsi="Times New Roman" w:cs="Times New Roman"/>
          <w:sz w:val="20"/>
        </w:rPr>
        <w:t>Intra</w:t>
      </w:r>
      <w:r>
        <w:rPr>
          <w:rFonts w:ascii="Times New Roman" w:hAnsi="Times New Roman" w:cs="Times New Roman"/>
          <w:sz w:val="20"/>
        </w:rPr>
        <w:t xml:space="preserve"> </w:t>
      </w:r>
      <w:r w:rsidRPr="00236B24">
        <w:rPr>
          <w:rFonts w:ascii="Times New Roman" w:hAnsi="Times New Roman" w:cs="Times New Roman"/>
          <w:sz w:val="20"/>
        </w:rPr>
        <w:t>Cytoplasmic Sperm Injection</w:t>
      </w:r>
      <w:r w:rsidRPr="00236B24">
        <w:rPr>
          <w:rFonts w:ascii="Times New Roman" w:hAnsi="Times New Roman" w:cs="Times New Roman"/>
          <w:sz w:val="20"/>
        </w:rPr>
        <w:t xml:space="preserve"> (ICSI) and the corresponding blank culture media as a background control. The MALBAC WGA method was used to amplify DNA from the culture media samples and the blank control media as well. Sequencing was performed on </w:t>
      </w:r>
      <w:proofErr w:type="spellStart"/>
      <w:r w:rsidRPr="00236B24">
        <w:rPr>
          <w:rFonts w:ascii="Times New Roman" w:hAnsi="Times New Roman" w:cs="Times New Roman"/>
          <w:sz w:val="20"/>
        </w:rPr>
        <w:t>Illumina</w:t>
      </w:r>
      <w:proofErr w:type="spellEnd"/>
      <w:r w:rsidRPr="00236B24">
        <w:rPr>
          <w:rFonts w:ascii="Times New Roman" w:hAnsi="Times New Roman" w:cs="Times New Roman"/>
          <w:sz w:val="20"/>
        </w:rPr>
        <w:t xml:space="preserve"> 6000 platform and embryonic chromosomal abnormalities were identified by an optimized bioinformatics pipeline applying a </w:t>
      </w:r>
      <w:r w:rsidRPr="00236B24">
        <w:rPr>
          <w:rFonts w:ascii="Times New Roman" w:hAnsi="Times New Roman" w:cs="Times New Roman"/>
          <w:sz w:val="20"/>
        </w:rPr>
        <w:t xml:space="preserve">Copy Number Variation </w:t>
      </w:r>
      <w:r w:rsidRPr="00236B24">
        <w:rPr>
          <w:rFonts w:ascii="Times New Roman" w:hAnsi="Times New Roman" w:cs="Times New Roman"/>
          <w:sz w:val="20"/>
        </w:rPr>
        <w:t>(CNV) detecting algorithm.</w:t>
      </w:r>
    </w:p>
    <w:p w:rsidR="00236B24" w:rsidRDefault="00903CA9" w:rsidP="00236B24">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164840" cy="1741170"/>
            <wp:effectExtent l="0" t="0" r="0" b="0"/>
            <wp:docPr id="2" name="Picture 2" descr="C:\Users\swetha-s\Downloads\SWETHA\May 2023\17-05-2023\Gynec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y 2023\17-05-2023\Gynecology 2023\Fig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4840" cy="1741170"/>
                    </a:xfrm>
                    <a:prstGeom prst="rect">
                      <a:avLst/>
                    </a:prstGeom>
                    <a:noFill/>
                    <a:ln>
                      <a:noFill/>
                    </a:ln>
                  </pic:spPr>
                </pic:pic>
              </a:graphicData>
            </a:graphic>
          </wp:inline>
        </w:drawing>
      </w:r>
    </w:p>
    <w:p w:rsidR="00236B24" w:rsidRPr="00903CA9" w:rsidRDefault="00236B24" w:rsidP="00236B24">
      <w:pPr>
        <w:jc w:val="center"/>
        <w:rPr>
          <w:rFonts w:ascii="Times New Roman" w:hAnsi="Times New Roman" w:cs="Times New Roman"/>
          <w:i/>
          <w:sz w:val="18"/>
        </w:rPr>
      </w:pPr>
      <w:proofErr w:type="gramStart"/>
      <w:r w:rsidRPr="00903CA9">
        <w:rPr>
          <w:rFonts w:ascii="Times New Roman" w:hAnsi="Times New Roman" w:cs="Times New Roman"/>
          <w:b/>
          <w:i/>
          <w:sz w:val="18"/>
        </w:rPr>
        <w:t>Figure 1.</w:t>
      </w:r>
      <w:proofErr w:type="gramEnd"/>
      <w:r w:rsidRPr="00903CA9">
        <w:rPr>
          <w:rFonts w:ascii="Times New Roman" w:hAnsi="Times New Roman" w:cs="Times New Roman"/>
          <w:i/>
          <w:sz w:val="18"/>
        </w:rPr>
        <w:t xml:space="preserve"> Our workflow from sample collection to copy number variation identification. </w:t>
      </w:r>
      <w:r w:rsidR="00866000" w:rsidRPr="00903CA9">
        <w:rPr>
          <w:rFonts w:ascii="Times New Roman" w:hAnsi="Times New Roman" w:cs="Times New Roman"/>
          <w:i/>
          <w:sz w:val="18"/>
        </w:rPr>
        <w:t>1</w:t>
      </w:r>
      <w:r w:rsidRPr="00903CA9">
        <w:rPr>
          <w:rFonts w:ascii="Times New Roman" w:hAnsi="Times New Roman" w:cs="Times New Roman"/>
          <w:i/>
          <w:sz w:val="18"/>
        </w:rPr>
        <w:t xml:space="preserve">. </w:t>
      </w:r>
      <w:r w:rsidR="00866000" w:rsidRPr="00903CA9">
        <w:rPr>
          <w:rFonts w:ascii="Times New Roman" w:hAnsi="Times New Roman" w:cs="Times New Roman"/>
          <w:i/>
          <w:sz w:val="18"/>
        </w:rPr>
        <w:t xml:space="preserve">Collection </w:t>
      </w:r>
      <w:r w:rsidRPr="00903CA9">
        <w:rPr>
          <w:rFonts w:ascii="Times New Roman" w:hAnsi="Times New Roman" w:cs="Times New Roman"/>
          <w:i/>
          <w:sz w:val="18"/>
        </w:rPr>
        <w:t xml:space="preserve">of day 3/day 5 </w:t>
      </w:r>
      <w:proofErr w:type="spellStart"/>
      <w:r w:rsidRPr="00903CA9">
        <w:rPr>
          <w:rFonts w:ascii="Times New Roman" w:hAnsi="Times New Roman" w:cs="Times New Roman"/>
          <w:i/>
          <w:sz w:val="18"/>
        </w:rPr>
        <w:t>embryonal</w:t>
      </w:r>
      <w:proofErr w:type="spellEnd"/>
      <w:r w:rsidRPr="00903CA9">
        <w:rPr>
          <w:rFonts w:ascii="Times New Roman" w:hAnsi="Times New Roman" w:cs="Times New Roman"/>
          <w:i/>
          <w:sz w:val="18"/>
        </w:rPr>
        <w:t xml:space="preserve"> culture media after embryo implantation</w:t>
      </w:r>
      <w:r w:rsidR="00866000" w:rsidRPr="00903CA9">
        <w:rPr>
          <w:rFonts w:ascii="Times New Roman" w:hAnsi="Times New Roman" w:cs="Times New Roman"/>
          <w:i/>
          <w:sz w:val="18"/>
        </w:rPr>
        <w:t>.</w:t>
      </w:r>
      <w:r w:rsidRPr="00903CA9">
        <w:rPr>
          <w:rFonts w:ascii="Times New Roman" w:hAnsi="Times New Roman" w:cs="Times New Roman"/>
          <w:i/>
          <w:sz w:val="18"/>
        </w:rPr>
        <w:t xml:space="preserve"> </w:t>
      </w:r>
      <w:r w:rsidR="00866000" w:rsidRPr="00903CA9">
        <w:rPr>
          <w:rFonts w:ascii="Times New Roman" w:hAnsi="Times New Roman" w:cs="Times New Roman"/>
          <w:i/>
          <w:sz w:val="18"/>
        </w:rPr>
        <w:t>2</w:t>
      </w:r>
      <w:r w:rsidRPr="00903CA9">
        <w:rPr>
          <w:rFonts w:ascii="Times New Roman" w:hAnsi="Times New Roman" w:cs="Times New Roman"/>
          <w:i/>
          <w:sz w:val="18"/>
        </w:rPr>
        <w:t xml:space="preserve">. </w:t>
      </w:r>
      <w:r w:rsidR="00866000" w:rsidRPr="00903CA9">
        <w:rPr>
          <w:rFonts w:ascii="Times New Roman" w:hAnsi="Times New Roman" w:cs="Times New Roman"/>
          <w:i/>
          <w:sz w:val="18"/>
        </w:rPr>
        <w:t xml:space="preserve">Amplification </w:t>
      </w:r>
      <w:r w:rsidRPr="00903CA9">
        <w:rPr>
          <w:rFonts w:ascii="Times New Roman" w:hAnsi="Times New Roman" w:cs="Times New Roman"/>
          <w:i/>
          <w:sz w:val="18"/>
        </w:rPr>
        <w:t xml:space="preserve">of </w:t>
      </w:r>
      <w:proofErr w:type="spellStart"/>
      <w:r w:rsidRPr="00903CA9">
        <w:rPr>
          <w:rFonts w:ascii="Times New Roman" w:hAnsi="Times New Roman" w:cs="Times New Roman"/>
          <w:i/>
          <w:sz w:val="18"/>
        </w:rPr>
        <w:t>gDNA</w:t>
      </w:r>
      <w:proofErr w:type="spellEnd"/>
      <w:r w:rsidRPr="00903CA9">
        <w:rPr>
          <w:rFonts w:ascii="Times New Roman" w:hAnsi="Times New Roman" w:cs="Times New Roman"/>
          <w:i/>
          <w:sz w:val="18"/>
        </w:rPr>
        <w:t xml:space="preserve"> in the sample</w:t>
      </w:r>
      <w:r w:rsidR="00866000" w:rsidRPr="00903CA9">
        <w:rPr>
          <w:rFonts w:ascii="Times New Roman" w:hAnsi="Times New Roman" w:cs="Times New Roman"/>
          <w:i/>
          <w:sz w:val="18"/>
        </w:rPr>
        <w:t>. 3</w:t>
      </w:r>
      <w:r w:rsidRPr="00903CA9">
        <w:rPr>
          <w:rFonts w:ascii="Times New Roman" w:hAnsi="Times New Roman" w:cs="Times New Roman"/>
          <w:i/>
          <w:sz w:val="18"/>
        </w:rPr>
        <w:t>. New Generation Sequencing</w:t>
      </w:r>
      <w:r w:rsidR="00866000" w:rsidRPr="00903CA9">
        <w:rPr>
          <w:rFonts w:ascii="Times New Roman" w:hAnsi="Times New Roman" w:cs="Times New Roman"/>
          <w:i/>
          <w:sz w:val="18"/>
        </w:rPr>
        <w:t>.</w:t>
      </w:r>
      <w:r w:rsidRPr="00903CA9">
        <w:rPr>
          <w:rFonts w:ascii="Times New Roman" w:hAnsi="Times New Roman" w:cs="Times New Roman"/>
          <w:i/>
          <w:sz w:val="18"/>
        </w:rPr>
        <w:t xml:space="preserve"> 4. Data analysis by </w:t>
      </w:r>
      <w:proofErr w:type="spellStart"/>
      <w:r w:rsidRPr="00903CA9">
        <w:rPr>
          <w:rFonts w:ascii="Times New Roman" w:hAnsi="Times New Roman" w:cs="Times New Roman"/>
          <w:i/>
          <w:sz w:val="18"/>
        </w:rPr>
        <w:t>bioinformatical</w:t>
      </w:r>
      <w:proofErr w:type="spellEnd"/>
      <w:r w:rsidRPr="00903CA9">
        <w:rPr>
          <w:rFonts w:ascii="Times New Roman" w:hAnsi="Times New Roman" w:cs="Times New Roman"/>
          <w:i/>
          <w:sz w:val="18"/>
        </w:rPr>
        <w:t xml:space="preserve"> methods</w:t>
      </w:r>
      <w:r w:rsidR="00866000" w:rsidRPr="00903CA9">
        <w:rPr>
          <w:rFonts w:ascii="Times New Roman" w:hAnsi="Times New Roman" w:cs="Times New Roman"/>
          <w:i/>
          <w:sz w:val="18"/>
        </w:rPr>
        <w:t>.</w:t>
      </w:r>
      <w:r w:rsidRPr="00903CA9">
        <w:rPr>
          <w:rFonts w:ascii="Times New Roman" w:hAnsi="Times New Roman" w:cs="Times New Roman"/>
          <w:i/>
          <w:sz w:val="18"/>
        </w:rPr>
        <w:t xml:space="preserve"> 5. Copy number variation identification and statistical analysis</w:t>
      </w:r>
      <w:r w:rsidR="00866000" w:rsidRPr="00903CA9">
        <w:rPr>
          <w:rFonts w:ascii="Times New Roman" w:hAnsi="Times New Roman" w:cs="Times New Roman"/>
          <w:i/>
          <w:sz w:val="18"/>
        </w:rPr>
        <w:t>.</w:t>
      </w:r>
    </w:p>
    <w:p w:rsidR="00236B24" w:rsidRPr="00236B24" w:rsidRDefault="00236B24" w:rsidP="00236B24">
      <w:pPr>
        <w:jc w:val="both"/>
        <w:rPr>
          <w:rFonts w:ascii="Times New Roman" w:hAnsi="Times New Roman" w:cs="Times New Roman"/>
          <w:sz w:val="20"/>
        </w:rPr>
      </w:pPr>
      <w:r w:rsidRPr="00236B24">
        <w:rPr>
          <w:rFonts w:ascii="Times New Roman" w:hAnsi="Times New Roman" w:cs="Times New Roman"/>
          <w:b/>
          <w:sz w:val="20"/>
        </w:rPr>
        <w:t>Findings:</w:t>
      </w:r>
      <w:r w:rsidRPr="00236B24">
        <w:rPr>
          <w:rFonts w:ascii="Times New Roman" w:hAnsi="Times New Roman" w:cs="Times New Roman"/>
          <w:sz w:val="20"/>
        </w:rPr>
        <w:t xml:space="preserve"> Analysis of DNA profiles of embryonic SCM demonstrated that higher </w:t>
      </w:r>
      <w:proofErr w:type="spellStart"/>
      <w:r w:rsidRPr="00236B24">
        <w:rPr>
          <w:rFonts w:ascii="Times New Roman" w:hAnsi="Times New Roman" w:cs="Times New Roman"/>
          <w:sz w:val="20"/>
        </w:rPr>
        <w:t>gDNA</w:t>
      </w:r>
      <w:proofErr w:type="spellEnd"/>
      <w:r w:rsidRPr="00236B24">
        <w:rPr>
          <w:rFonts w:ascii="Times New Roman" w:hAnsi="Times New Roman" w:cs="Times New Roman"/>
          <w:sz w:val="20"/>
        </w:rPr>
        <w:t xml:space="preserve"> copy number is associated with impaired intrauterine development and indicated miscarriage outcomes. We found some chromosomal abnormalities that occur only in a specific region of chromosome 18, where two important genes are located which are associated with congenital abnormalities and involved in various cellular processes and can be related to Edwards syndrome. In some cases, the chromosomal </w:t>
      </w:r>
      <w:proofErr w:type="spellStart"/>
      <w:r w:rsidRPr="00236B24">
        <w:rPr>
          <w:rFonts w:ascii="Times New Roman" w:hAnsi="Times New Roman" w:cs="Times New Roman"/>
          <w:sz w:val="20"/>
        </w:rPr>
        <w:t>ploidy</w:t>
      </w:r>
      <w:proofErr w:type="spellEnd"/>
      <w:r w:rsidRPr="00236B24">
        <w:rPr>
          <w:rFonts w:ascii="Times New Roman" w:hAnsi="Times New Roman" w:cs="Times New Roman"/>
          <w:sz w:val="20"/>
        </w:rPr>
        <w:t xml:space="preserve"> aberration was found to be multiple, which can be irreconcilable with healthy embryonic development and embryonic viability.</w:t>
      </w:r>
    </w:p>
    <w:p w:rsidR="00236B24" w:rsidRPr="00236B24" w:rsidRDefault="00236B24" w:rsidP="00236B24">
      <w:pPr>
        <w:jc w:val="both"/>
        <w:rPr>
          <w:rFonts w:ascii="Times New Roman" w:hAnsi="Times New Roman" w:cs="Times New Roman"/>
          <w:sz w:val="20"/>
        </w:rPr>
      </w:pPr>
      <w:r w:rsidRPr="00236B24">
        <w:rPr>
          <w:rFonts w:ascii="Times New Roman" w:hAnsi="Times New Roman" w:cs="Times New Roman"/>
          <w:b/>
          <w:sz w:val="20"/>
        </w:rPr>
        <w:t>Conclusion:</w:t>
      </w:r>
      <w:r w:rsidRPr="00236B24">
        <w:rPr>
          <w:rFonts w:ascii="Times New Roman" w:hAnsi="Times New Roman" w:cs="Times New Roman"/>
          <w:sz w:val="20"/>
        </w:rPr>
        <w:t xml:space="preserve"> In the recent presentation we aim to demonstrate the comprehensive workflow covering both wet and dry-lab procedures supporting a clinically applicable strategy for NIPGT-A. The described integrated approach of non-invasive evaluation of embryonic DNA content of the culture media can potentially supplement existing pre-implantation genetic screening methods.</w:t>
      </w:r>
    </w:p>
    <w:p w:rsidR="00236B24" w:rsidRPr="00236B24" w:rsidRDefault="00236B24" w:rsidP="00236B24">
      <w:pPr>
        <w:rPr>
          <w:rFonts w:ascii="Times New Roman" w:hAnsi="Times New Roman" w:cs="Times New Roman"/>
          <w:b/>
          <w:sz w:val="24"/>
        </w:rPr>
      </w:pPr>
      <w:r w:rsidRPr="00236B24">
        <w:rPr>
          <w:rFonts w:ascii="Times New Roman" w:hAnsi="Times New Roman" w:cs="Times New Roman"/>
          <w:b/>
          <w:sz w:val="24"/>
        </w:rPr>
        <w:lastRenderedPageBreak/>
        <w:t>Biography</w:t>
      </w:r>
      <w:r w:rsidRPr="00236B24">
        <w:rPr>
          <w:rFonts w:ascii="Times New Roman" w:hAnsi="Times New Roman" w:cs="Times New Roman"/>
          <w:b/>
          <w:sz w:val="24"/>
        </w:rPr>
        <w:t xml:space="preserve"> </w:t>
      </w:r>
    </w:p>
    <w:p w:rsidR="00236B24" w:rsidRPr="00236B24" w:rsidRDefault="00236B24" w:rsidP="00236B24">
      <w:pPr>
        <w:jc w:val="both"/>
        <w:rPr>
          <w:rFonts w:ascii="Times New Roman" w:hAnsi="Times New Roman" w:cs="Times New Roman"/>
          <w:sz w:val="20"/>
        </w:rPr>
      </w:pPr>
      <w:r w:rsidRPr="00236B24">
        <w:rPr>
          <w:rFonts w:ascii="Times New Roman" w:hAnsi="Times New Roman" w:cs="Times New Roman"/>
          <w:sz w:val="20"/>
        </w:rPr>
        <w:t xml:space="preserve">Henrietta </w:t>
      </w:r>
      <w:proofErr w:type="spellStart"/>
      <w:r w:rsidRPr="00236B24">
        <w:rPr>
          <w:rFonts w:ascii="Times New Roman" w:hAnsi="Times New Roman" w:cs="Times New Roman"/>
          <w:sz w:val="20"/>
        </w:rPr>
        <w:t>Gell</w:t>
      </w:r>
      <w:r>
        <w:rPr>
          <w:rFonts w:ascii="Times New Roman" w:hAnsi="Times New Roman" w:cs="Times New Roman"/>
          <w:sz w:val="20"/>
        </w:rPr>
        <w:t>e</w:t>
      </w:r>
      <w:r w:rsidRPr="00236B24">
        <w:rPr>
          <w:rFonts w:ascii="Times New Roman" w:hAnsi="Times New Roman" w:cs="Times New Roman"/>
          <w:sz w:val="20"/>
        </w:rPr>
        <w:t>n</w:t>
      </w:r>
      <w:proofErr w:type="spellEnd"/>
      <w:r w:rsidRPr="00236B24">
        <w:rPr>
          <w:rFonts w:ascii="Times New Roman" w:hAnsi="Times New Roman" w:cs="Times New Roman"/>
          <w:sz w:val="20"/>
        </w:rPr>
        <w:t xml:space="preserve"> in a clinical laboratory researcher graduated in 2021. She is a second year PhD student at </w:t>
      </w:r>
      <w:proofErr w:type="spellStart"/>
      <w:r w:rsidRPr="00236B24">
        <w:rPr>
          <w:rFonts w:ascii="Times New Roman" w:hAnsi="Times New Roman" w:cs="Times New Roman"/>
          <w:sz w:val="20"/>
        </w:rPr>
        <w:t>P</w:t>
      </w:r>
      <w:r>
        <w:rPr>
          <w:rFonts w:ascii="Times New Roman" w:hAnsi="Times New Roman" w:cs="Times New Roman"/>
          <w:sz w:val="20"/>
        </w:rPr>
        <w:t>e</w:t>
      </w:r>
      <w:r w:rsidRPr="00236B24">
        <w:rPr>
          <w:rFonts w:ascii="Times New Roman" w:hAnsi="Times New Roman" w:cs="Times New Roman"/>
          <w:sz w:val="20"/>
        </w:rPr>
        <w:t>cs</w:t>
      </w:r>
      <w:proofErr w:type="spellEnd"/>
      <w:r w:rsidRPr="00236B24">
        <w:rPr>
          <w:rFonts w:ascii="Times New Roman" w:hAnsi="Times New Roman" w:cs="Times New Roman"/>
          <w:sz w:val="20"/>
        </w:rPr>
        <w:t xml:space="preserve"> University, Faculty of Medicine Doctorate School of Medical </w:t>
      </w:r>
      <w:r w:rsidRPr="00236B24">
        <w:rPr>
          <w:rFonts w:ascii="Times New Roman" w:hAnsi="Times New Roman" w:cs="Times New Roman"/>
          <w:sz w:val="20"/>
        </w:rPr>
        <w:t>Sciences;</w:t>
      </w:r>
      <w:r w:rsidRPr="00236B24">
        <w:rPr>
          <w:rFonts w:ascii="Times New Roman" w:hAnsi="Times New Roman" w:cs="Times New Roman"/>
          <w:sz w:val="20"/>
        </w:rPr>
        <w:t xml:space="preserve"> in addition, she is also involved in education by teaching the Modern Methods in Molecular Genetics course in the MSc program. She’s a member of the National Laboratory on Human Reproduction since 2021. Her research focuses on developing non-invasive molecular diagnostic techniques on embryonic culture media to improve implantation procedures and increase success rates.</w:t>
      </w:r>
      <w:bookmarkEnd w:id="0"/>
    </w:p>
    <w:sectPr w:rsidR="00236B24" w:rsidRPr="00236B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98B" w:rsidRDefault="00C0498B" w:rsidP="00D92F1F">
      <w:pPr>
        <w:spacing w:after="0" w:line="240" w:lineRule="auto"/>
      </w:pPr>
      <w:r>
        <w:separator/>
      </w:r>
    </w:p>
  </w:endnote>
  <w:endnote w:type="continuationSeparator" w:id="0">
    <w:p w:rsidR="00C0498B" w:rsidRDefault="00C0498B" w:rsidP="00D92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98B" w:rsidRDefault="00C0498B" w:rsidP="00D92F1F">
      <w:pPr>
        <w:spacing w:after="0" w:line="240" w:lineRule="auto"/>
      </w:pPr>
      <w:r>
        <w:separator/>
      </w:r>
    </w:p>
  </w:footnote>
  <w:footnote w:type="continuationSeparator" w:id="0">
    <w:p w:rsidR="00C0498B" w:rsidRDefault="00C0498B" w:rsidP="00D92F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B24"/>
    <w:rsid w:val="00236B24"/>
    <w:rsid w:val="0032354D"/>
    <w:rsid w:val="00474203"/>
    <w:rsid w:val="00535872"/>
    <w:rsid w:val="00866000"/>
    <w:rsid w:val="00903CA9"/>
    <w:rsid w:val="00924B33"/>
    <w:rsid w:val="00C0498B"/>
    <w:rsid w:val="00D9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B24"/>
    <w:rPr>
      <w:rFonts w:ascii="Tahoma" w:hAnsi="Tahoma" w:cs="Tahoma"/>
      <w:sz w:val="16"/>
      <w:szCs w:val="16"/>
    </w:rPr>
  </w:style>
  <w:style w:type="paragraph" w:styleId="Header">
    <w:name w:val="header"/>
    <w:basedOn w:val="Normal"/>
    <w:link w:val="HeaderChar"/>
    <w:uiPriority w:val="99"/>
    <w:unhideWhenUsed/>
    <w:rsid w:val="00D92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1F"/>
  </w:style>
  <w:style w:type="paragraph" w:styleId="Footer">
    <w:name w:val="footer"/>
    <w:basedOn w:val="Normal"/>
    <w:link w:val="FooterChar"/>
    <w:uiPriority w:val="99"/>
    <w:unhideWhenUsed/>
    <w:rsid w:val="00D92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B24"/>
    <w:rPr>
      <w:rFonts w:ascii="Tahoma" w:hAnsi="Tahoma" w:cs="Tahoma"/>
      <w:sz w:val="16"/>
      <w:szCs w:val="16"/>
    </w:rPr>
  </w:style>
  <w:style w:type="paragraph" w:styleId="Header">
    <w:name w:val="header"/>
    <w:basedOn w:val="Normal"/>
    <w:link w:val="HeaderChar"/>
    <w:uiPriority w:val="99"/>
    <w:unhideWhenUsed/>
    <w:rsid w:val="00D92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1F"/>
  </w:style>
  <w:style w:type="paragraph" w:styleId="Footer">
    <w:name w:val="footer"/>
    <w:basedOn w:val="Normal"/>
    <w:link w:val="FooterChar"/>
    <w:uiPriority w:val="99"/>
    <w:unhideWhenUsed/>
    <w:rsid w:val="00D92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2023-05-17T12:24:00Z</dcterms:created>
  <dcterms:modified xsi:type="dcterms:W3CDTF">2023-05-17T13:22:00Z</dcterms:modified>
</cp:coreProperties>
</file>