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40A" w:rsidRPr="00D91DFD" w:rsidRDefault="00771BC0" w:rsidP="00D91DFD">
      <w:pPr>
        <w:rPr>
          <w:rFonts w:ascii="Times New Roman" w:hAnsi="Times New Roman" w:cs="Times New Roman"/>
          <w:b/>
          <w:sz w:val="32"/>
          <w:szCs w:val="24"/>
        </w:rPr>
      </w:pPr>
      <w:r w:rsidRPr="00D91DFD">
        <w:rPr>
          <w:rFonts w:ascii="Times New Roman" w:hAnsi="Times New Roman" w:cs="Times New Roman"/>
          <w:b/>
          <w:sz w:val="32"/>
          <w:szCs w:val="24"/>
        </w:rPr>
        <w:t xml:space="preserve">Fruiting body specific sc4 </w:t>
      </w:r>
      <w:proofErr w:type="spellStart"/>
      <w:r w:rsidRPr="00D91DFD">
        <w:rPr>
          <w:rFonts w:ascii="Times New Roman" w:hAnsi="Times New Roman" w:cs="Times New Roman"/>
          <w:b/>
          <w:sz w:val="32"/>
          <w:szCs w:val="24"/>
        </w:rPr>
        <w:t>hydrophobin</w:t>
      </w:r>
      <w:proofErr w:type="spellEnd"/>
      <w:r w:rsidRPr="00D91DFD">
        <w:rPr>
          <w:rFonts w:ascii="Times New Roman" w:hAnsi="Times New Roman" w:cs="Times New Roman"/>
          <w:b/>
          <w:sz w:val="32"/>
          <w:szCs w:val="24"/>
        </w:rPr>
        <w:t xml:space="preserve"> gene plays a role in </w:t>
      </w:r>
      <w:proofErr w:type="spellStart"/>
      <w:r w:rsidRPr="00D91DFD">
        <w:rPr>
          <w:rFonts w:ascii="Times New Roman" w:hAnsi="Times New Roman" w:cs="Times New Roman"/>
          <w:b/>
          <w:i/>
          <w:sz w:val="32"/>
          <w:szCs w:val="24"/>
        </w:rPr>
        <w:t>Schizophyllum</w:t>
      </w:r>
      <w:proofErr w:type="spellEnd"/>
      <w:r w:rsidRPr="00D91DFD">
        <w:rPr>
          <w:rFonts w:ascii="Times New Roman" w:hAnsi="Times New Roman" w:cs="Times New Roman"/>
          <w:b/>
          <w:i/>
          <w:sz w:val="32"/>
          <w:szCs w:val="24"/>
        </w:rPr>
        <w:t xml:space="preserve"> commune</w:t>
      </w:r>
      <w:r w:rsidRPr="00D91DFD">
        <w:rPr>
          <w:rFonts w:ascii="Times New Roman" w:hAnsi="Times New Roman" w:cs="Times New Roman"/>
          <w:b/>
          <w:sz w:val="32"/>
          <w:szCs w:val="24"/>
        </w:rPr>
        <w:t xml:space="preserve"> </w:t>
      </w:r>
      <w:proofErr w:type="spellStart"/>
      <w:r w:rsidRPr="00D91DFD">
        <w:rPr>
          <w:rFonts w:ascii="Times New Roman" w:hAnsi="Times New Roman" w:cs="Times New Roman"/>
          <w:b/>
          <w:sz w:val="32"/>
          <w:szCs w:val="24"/>
        </w:rPr>
        <w:t>hyphal</w:t>
      </w:r>
      <w:proofErr w:type="spellEnd"/>
      <w:r w:rsidRPr="00D91DFD">
        <w:rPr>
          <w:rFonts w:ascii="Times New Roman" w:hAnsi="Times New Roman" w:cs="Times New Roman"/>
          <w:b/>
          <w:sz w:val="32"/>
          <w:szCs w:val="24"/>
        </w:rPr>
        <w:t xml:space="preserve"> attachment to structured glass surfaces</w:t>
      </w:r>
    </w:p>
    <w:p w:rsidR="00771BC0" w:rsidRPr="00D91DFD" w:rsidRDefault="00771BC0" w:rsidP="00D91DFD">
      <w:pPr>
        <w:rPr>
          <w:rFonts w:ascii="Times New Roman" w:hAnsi="Times New Roman" w:cs="Times New Roman"/>
          <w:sz w:val="24"/>
          <w:szCs w:val="24"/>
        </w:rPr>
      </w:pPr>
      <w:r w:rsidRPr="00D91DFD">
        <w:rPr>
          <w:rFonts w:ascii="Times New Roman" w:hAnsi="Times New Roman" w:cs="Times New Roman"/>
          <w:sz w:val="24"/>
          <w:szCs w:val="24"/>
        </w:rPr>
        <w:t xml:space="preserve">Evans </w:t>
      </w:r>
      <w:proofErr w:type="spellStart"/>
      <w:r w:rsidRPr="00D91DFD">
        <w:rPr>
          <w:rFonts w:ascii="Times New Roman" w:hAnsi="Times New Roman" w:cs="Times New Roman"/>
          <w:sz w:val="24"/>
          <w:szCs w:val="24"/>
        </w:rPr>
        <w:t>Iyamu</w:t>
      </w:r>
      <w:proofErr w:type="spellEnd"/>
      <w:r w:rsidR="00850B9D">
        <w:rPr>
          <w:rFonts w:ascii="Times New Roman" w:hAnsi="Times New Roman" w:cs="Times New Roman"/>
          <w:sz w:val="24"/>
          <w:szCs w:val="24"/>
        </w:rPr>
        <w:t>*</w:t>
      </w:r>
      <w:r w:rsidRPr="00D91D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1DFD">
        <w:rPr>
          <w:rFonts w:ascii="Times New Roman" w:hAnsi="Times New Roman" w:cs="Times New Roman"/>
          <w:sz w:val="24"/>
          <w:szCs w:val="24"/>
        </w:rPr>
        <w:t>Katrin</w:t>
      </w:r>
      <w:proofErr w:type="spellEnd"/>
      <w:r w:rsidRPr="00D91DFD">
        <w:rPr>
          <w:rFonts w:ascii="Times New Roman" w:hAnsi="Times New Roman" w:cs="Times New Roman"/>
          <w:sz w:val="24"/>
          <w:szCs w:val="24"/>
        </w:rPr>
        <w:t xml:space="preserve"> Krause and Erika </w:t>
      </w:r>
      <w:proofErr w:type="spellStart"/>
      <w:r w:rsidRPr="00D91DFD">
        <w:rPr>
          <w:rFonts w:ascii="Times New Roman" w:hAnsi="Times New Roman" w:cs="Times New Roman"/>
          <w:sz w:val="24"/>
          <w:szCs w:val="24"/>
        </w:rPr>
        <w:t>Kothe</w:t>
      </w:r>
      <w:proofErr w:type="spellEnd"/>
    </w:p>
    <w:p w:rsidR="00771BC0" w:rsidRPr="00D91DFD" w:rsidRDefault="00771BC0" w:rsidP="00D91DFD">
      <w:pPr>
        <w:rPr>
          <w:rFonts w:ascii="Times New Roman" w:hAnsi="Times New Roman" w:cs="Times New Roman"/>
          <w:szCs w:val="24"/>
        </w:rPr>
      </w:pPr>
      <w:r w:rsidRPr="00D91DFD">
        <w:rPr>
          <w:rFonts w:ascii="Times New Roman" w:hAnsi="Times New Roman" w:cs="Times New Roman"/>
          <w:szCs w:val="24"/>
        </w:rPr>
        <w:t>Friedrich Schiller University Jena, Germany</w:t>
      </w:r>
    </w:p>
    <w:p w:rsidR="00771BC0" w:rsidRPr="00771BC0" w:rsidRDefault="00771BC0" w:rsidP="00771B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1BC0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771BC0" w:rsidRPr="00D91DFD" w:rsidRDefault="00771BC0" w:rsidP="00771BC0">
      <w:pPr>
        <w:jc w:val="both"/>
        <w:rPr>
          <w:rFonts w:ascii="Times New Roman" w:hAnsi="Times New Roman" w:cs="Times New Roman"/>
          <w:sz w:val="20"/>
          <w:szCs w:val="24"/>
        </w:rPr>
      </w:pPr>
      <w:r w:rsidRPr="00D91DFD">
        <w:rPr>
          <w:rFonts w:ascii="Times New Roman" w:hAnsi="Times New Roman" w:cs="Times New Roman"/>
          <w:sz w:val="20"/>
          <w:szCs w:val="24"/>
        </w:rPr>
        <w:t xml:space="preserve">Genes encoding </w:t>
      </w:r>
      <w:proofErr w:type="spellStart"/>
      <w:r w:rsidRPr="00D91DFD">
        <w:rPr>
          <w:rFonts w:ascii="Times New Roman" w:hAnsi="Times New Roman" w:cs="Times New Roman"/>
          <w:sz w:val="20"/>
          <w:szCs w:val="24"/>
        </w:rPr>
        <w:t>hydrophobins</w:t>
      </w:r>
      <w:proofErr w:type="spellEnd"/>
      <w:r w:rsidRPr="00D91DFD">
        <w:rPr>
          <w:rFonts w:ascii="Times New Roman" w:hAnsi="Times New Roman" w:cs="Times New Roman"/>
          <w:sz w:val="20"/>
          <w:szCs w:val="24"/>
        </w:rPr>
        <w:t xml:space="preserve"> play distinct roles at different stages of the life cycle of fungi</w:t>
      </w:r>
      <w:r w:rsidR="00850B9D">
        <w:rPr>
          <w:rFonts w:ascii="Times New Roman" w:hAnsi="Times New Roman" w:cs="Times New Roman"/>
          <w:sz w:val="20"/>
          <w:szCs w:val="24"/>
        </w:rPr>
        <w:t xml:space="preserve"> and</w:t>
      </w:r>
      <w:r w:rsidRPr="00D91DFD">
        <w:rPr>
          <w:rFonts w:ascii="Times New Roman" w:hAnsi="Times New Roman" w:cs="Times New Roman"/>
          <w:sz w:val="20"/>
          <w:szCs w:val="24"/>
        </w:rPr>
        <w:t xml:space="preserve"> they foster </w:t>
      </w:r>
      <w:proofErr w:type="spellStart"/>
      <w:r w:rsidRPr="00D91DFD">
        <w:rPr>
          <w:rFonts w:ascii="Times New Roman" w:hAnsi="Times New Roman" w:cs="Times New Roman"/>
          <w:sz w:val="20"/>
          <w:szCs w:val="24"/>
        </w:rPr>
        <w:t>hyphal</w:t>
      </w:r>
      <w:proofErr w:type="spellEnd"/>
      <w:r w:rsidRPr="00D91DFD">
        <w:rPr>
          <w:rFonts w:ascii="Times New Roman" w:hAnsi="Times New Roman" w:cs="Times New Roman"/>
          <w:sz w:val="20"/>
          <w:szCs w:val="24"/>
        </w:rPr>
        <w:t xml:space="preserve"> attachment to surfaces. The </w:t>
      </w:r>
      <w:proofErr w:type="spellStart"/>
      <w:r w:rsidRPr="00D91DFD">
        <w:rPr>
          <w:rFonts w:ascii="Times New Roman" w:hAnsi="Times New Roman" w:cs="Times New Roman"/>
          <w:sz w:val="20"/>
          <w:szCs w:val="24"/>
        </w:rPr>
        <w:t>hydrophobin</w:t>
      </w:r>
      <w:proofErr w:type="spellEnd"/>
      <w:r w:rsidRPr="00D91DFD">
        <w:rPr>
          <w:rFonts w:ascii="Times New Roman" w:hAnsi="Times New Roman" w:cs="Times New Roman"/>
          <w:sz w:val="20"/>
          <w:szCs w:val="24"/>
        </w:rPr>
        <w:t xml:space="preserve"> Sc4 is known to provide a hydrophobic membrane lining of the gas channels within </w:t>
      </w:r>
      <w:proofErr w:type="spellStart"/>
      <w:r w:rsidRPr="00D91DFD">
        <w:rPr>
          <w:rFonts w:ascii="Times New Roman" w:hAnsi="Times New Roman" w:cs="Times New Roman"/>
          <w:i/>
          <w:sz w:val="20"/>
          <w:szCs w:val="24"/>
        </w:rPr>
        <w:t>Schizophyllum</w:t>
      </w:r>
      <w:proofErr w:type="spellEnd"/>
      <w:r w:rsidRPr="00D91DFD">
        <w:rPr>
          <w:rFonts w:ascii="Times New Roman" w:hAnsi="Times New Roman" w:cs="Times New Roman"/>
          <w:i/>
          <w:sz w:val="20"/>
          <w:szCs w:val="24"/>
        </w:rPr>
        <w:t xml:space="preserve"> commune</w:t>
      </w:r>
      <w:r w:rsidRPr="00D91DFD">
        <w:rPr>
          <w:rFonts w:ascii="Times New Roman" w:hAnsi="Times New Roman" w:cs="Times New Roman"/>
          <w:sz w:val="20"/>
          <w:szCs w:val="24"/>
        </w:rPr>
        <w:t xml:space="preserve"> fruiting bodies. Here, we cultivated non-fruiting, </w:t>
      </w:r>
      <w:proofErr w:type="spellStart"/>
      <w:r w:rsidRPr="00D91DFD">
        <w:rPr>
          <w:rFonts w:ascii="Times New Roman" w:hAnsi="Times New Roman" w:cs="Times New Roman"/>
          <w:sz w:val="20"/>
          <w:szCs w:val="24"/>
        </w:rPr>
        <w:t>monokaryotic</w:t>
      </w:r>
      <w:proofErr w:type="spellEnd"/>
      <w:r w:rsidRPr="00D91DFD">
        <w:rPr>
          <w:rFonts w:ascii="Times New Roman" w:hAnsi="Times New Roman" w:cs="Times New Roman"/>
          <w:sz w:val="20"/>
          <w:szCs w:val="24"/>
        </w:rPr>
        <w:t xml:space="preserve"> </w:t>
      </w:r>
      <w:r w:rsidRPr="00D91DFD">
        <w:rPr>
          <w:rFonts w:ascii="Times New Roman" w:hAnsi="Times New Roman" w:cs="Times New Roman"/>
          <w:i/>
          <w:sz w:val="20"/>
          <w:szCs w:val="24"/>
        </w:rPr>
        <w:t>S. commune</w:t>
      </w:r>
      <w:r w:rsidRPr="00D91DFD">
        <w:rPr>
          <w:rFonts w:ascii="Times New Roman" w:hAnsi="Times New Roman" w:cs="Times New Roman"/>
          <w:sz w:val="20"/>
          <w:szCs w:val="24"/>
        </w:rPr>
        <w:t xml:space="preserve"> 12-43 on glass surfaces that could be verified by </w:t>
      </w:r>
      <w:proofErr w:type="spellStart"/>
      <w:r w:rsidRPr="00D91DFD">
        <w:rPr>
          <w:rFonts w:ascii="Times New Roman" w:hAnsi="Times New Roman" w:cs="Times New Roman"/>
          <w:sz w:val="20"/>
          <w:szCs w:val="24"/>
        </w:rPr>
        <w:t>micrography</w:t>
      </w:r>
      <w:proofErr w:type="spellEnd"/>
      <w:r w:rsidRPr="00D91DFD">
        <w:rPr>
          <w:rFonts w:ascii="Times New Roman" w:hAnsi="Times New Roman" w:cs="Times New Roman"/>
          <w:sz w:val="20"/>
          <w:szCs w:val="24"/>
        </w:rPr>
        <w:t xml:space="preserve">. Differential gene expression profiling of nine </w:t>
      </w:r>
      <w:proofErr w:type="spellStart"/>
      <w:r w:rsidRPr="00D91DFD">
        <w:rPr>
          <w:rFonts w:ascii="Times New Roman" w:hAnsi="Times New Roman" w:cs="Times New Roman"/>
          <w:sz w:val="20"/>
          <w:szCs w:val="24"/>
        </w:rPr>
        <w:t>hydrophobin</w:t>
      </w:r>
      <w:proofErr w:type="spellEnd"/>
      <w:r w:rsidRPr="00D91DFD">
        <w:rPr>
          <w:rFonts w:ascii="Times New Roman" w:hAnsi="Times New Roman" w:cs="Times New Roman"/>
          <w:sz w:val="20"/>
          <w:szCs w:val="24"/>
        </w:rPr>
        <w:t xml:space="preserve"> genes and the </w:t>
      </w:r>
      <w:proofErr w:type="spellStart"/>
      <w:r w:rsidRPr="00D91DFD">
        <w:rPr>
          <w:rFonts w:ascii="Times New Roman" w:hAnsi="Times New Roman" w:cs="Times New Roman"/>
          <w:sz w:val="20"/>
          <w:szCs w:val="24"/>
        </w:rPr>
        <w:t>hydrophobin</w:t>
      </w:r>
      <w:proofErr w:type="spellEnd"/>
      <w:r w:rsidRPr="00D91DFD">
        <w:rPr>
          <w:rFonts w:ascii="Times New Roman" w:hAnsi="Times New Roman" w:cs="Times New Roman"/>
          <w:sz w:val="20"/>
          <w:szCs w:val="24"/>
        </w:rPr>
        <w:t xml:space="preserve">-like sc15 gene by quantitative PCR showed significant upregulation of sc4 when </w:t>
      </w:r>
      <w:r w:rsidRPr="00D91DFD">
        <w:rPr>
          <w:rFonts w:ascii="Times New Roman" w:hAnsi="Times New Roman" w:cs="Times New Roman"/>
          <w:i/>
          <w:sz w:val="20"/>
          <w:szCs w:val="24"/>
        </w:rPr>
        <w:t>S. commune</w:t>
      </w:r>
      <w:r w:rsidRPr="00D91DFD">
        <w:rPr>
          <w:rFonts w:ascii="Times New Roman" w:hAnsi="Times New Roman" w:cs="Times New Roman"/>
          <w:sz w:val="20"/>
          <w:szCs w:val="24"/>
        </w:rPr>
        <w:t xml:space="preserve"> was attaching to glass surfaces, confirmed also with RNA-</w:t>
      </w:r>
      <w:proofErr w:type="spellStart"/>
      <w:r w:rsidRPr="00D91DFD">
        <w:rPr>
          <w:rFonts w:ascii="Times New Roman" w:hAnsi="Times New Roman" w:cs="Times New Roman"/>
          <w:sz w:val="20"/>
          <w:szCs w:val="24"/>
        </w:rPr>
        <w:t>Seq</w:t>
      </w:r>
      <w:proofErr w:type="spellEnd"/>
      <w:r w:rsidRPr="00D91DFD">
        <w:rPr>
          <w:rFonts w:ascii="Times New Roman" w:hAnsi="Times New Roman" w:cs="Times New Roman"/>
          <w:sz w:val="20"/>
          <w:szCs w:val="24"/>
        </w:rPr>
        <w:t xml:space="preserve"> data analysis. Another silicate, namely quartz sand, was investigated</w:t>
      </w:r>
      <w:r w:rsidR="00850B9D">
        <w:rPr>
          <w:rFonts w:ascii="Times New Roman" w:hAnsi="Times New Roman" w:cs="Times New Roman"/>
          <w:sz w:val="20"/>
          <w:szCs w:val="24"/>
        </w:rPr>
        <w:t xml:space="preserve"> and</w:t>
      </w:r>
      <w:r w:rsidRPr="00D91DFD">
        <w:rPr>
          <w:rFonts w:ascii="Times New Roman" w:hAnsi="Times New Roman" w:cs="Times New Roman"/>
          <w:sz w:val="20"/>
          <w:szCs w:val="24"/>
        </w:rPr>
        <w:t xml:space="preserve"> induction of sc4 was seen as well. The up-regulation of the </w:t>
      </w:r>
      <w:proofErr w:type="spellStart"/>
      <w:r w:rsidRPr="00D91DFD">
        <w:rPr>
          <w:rFonts w:ascii="Times New Roman" w:hAnsi="Times New Roman" w:cs="Times New Roman"/>
          <w:sz w:val="20"/>
          <w:szCs w:val="24"/>
        </w:rPr>
        <w:t>hydrophobin</w:t>
      </w:r>
      <w:proofErr w:type="spellEnd"/>
      <w:r w:rsidRPr="00D91DFD">
        <w:rPr>
          <w:rFonts w:ascii="Times New Roman" w:hAnsi="Times New Roman" w:cs="Times New Roman"/>
          <w:sz w:val="20"/>
          <w:szCs w:val="24"/>
        </w:rPr>
        <w:t xml:space="preserve"> gene sc4 may indicate involvement in </w:t>
      </w:r>
      <w:r w:rsidRPr="00D91DFD">
        <w:rPr>
          <w:rFonts w:ascii="Times New Roman" w:hAnsi="Times New Roman" w:cs="Times New Roman"/>
          <w:i/>
          <w:sz w:val="20"/>
          <w:szCs w:val="24"/>
        </w:rPr>
        <w:t>S. commune</w:t>
      </w:r>
      <w:r w:rsidRPr="00D91DFD">
        <w:rPr>
          <w:rFonts w:ascii="Times New Roman" w:hAnsi="Times New Roman" w:cs="Times New Roman"/>
          <w:sz w:val="20"/>
          <w:szCs w:val="24"/>
        </w:rPr>
        <w:t xml:space="preserve"> hyphal attachment to glass as well as quartz surfaces. We propose that the covering of hyphae by Sc4 allows for direct interaction with the hydrophobic surfaces of </w:t>
      </w:r>
      <w:r w:rsidR="00D91DFD" w:rsidRPr="00D91DFD">
        <w:rPr>
          <w:rFonts w:ascii="Times New Roman" w:hAnsi="Times New Roman" w:cs="Times New Roman"/>
          <w:sz w:val="20"/>
          <w:szCs w:val="24"/>
        </w:rPr>
        <w:t>silicates</w:t>
      </w:r>
      <w:r w:rsidRPr="00D91DFD">
        <w:rPr>
          <w:rFonts w:ascii="Times New Roman" w:hAnsi="Times New Roman" w:cs="Times New Roman"/>
          <w:sz w:val="20"/>
          <w:szCs w:val="24"/>
        </w:rPr>
        <w:t xml:space="preserve"> and that differential functions of specific </w:t>
      </w:r>
      <w:proofErr w:type="spellStart"/>
      <w:r w:rsidRPr="00D91DFD">
        <w:rPr>
          <w:rFonts w:ascii="Times New Roman" w:hAnsi="Times New Roman" w:cs="Times New Roman"/>
          <w:sz w:val="20"/>
          <w:szCs w:val="24"/>
        </w:rPr>
        <w:t>hydrophobin</w:t>
      </w:r>
      <w:proofErr w:type="spellEnd"/>
      <w:r w:rsidRPr="00D91DFD">
        <w:rPr>
          <w:rFonts w:ascii="Times New Roman" w:hAnsi="Times New Roman" w:cs="Times New Roman"/>
          <w:sz w:val="20"/>
          <w:szCs w:val="24"/>
        </w:rPr>
        <w:t xml:space="preserve"> genes is depending on the surface interface involved. This study could help with the clarification of the biological functions of </w:t>
      </w:r>
      <w:proofErr w:type="spellStart"/>
      <w:r w:rsidRPr="00D91DFD">
        <w:rPr>
          <w:rFonts w:ascii="Times New Roman" w:hAnsi="Times New Roman" w:cs="Times New Roman"/>
          <w:sz w:val="20"/>
          <w:szCs w:val="24"/>
        </w:rPr>
        <w:t>hydrophobins</w:t>
      </w:r>
      <w:proofErr w:type="spellEnd"/>
      <w:r w:rsidRPr="00D91DFD">
        <w:rPr>
          <w:rFonts w:ascii="Times New Roman" w:hAnsi="Times New Roman" w:cs="Times New Roman"/>
          <w:sz w:val="20"/>
          <w:szCs w:val="24"/>
        </w:rPr>
        <w:t xml:space="preserve"> in natural surroundings, including hydrophobic surface attachment. Therefore, the analysis of growth on glass serves as a basis for understanding </w:t>
      </w:r>
      <w:r w:rsidRPr="00D91DFD">
        <w:rPr>
          <w:rFonts w:ascii="Times New Roman" w:hAnsi="Times New Roman" w:cs="Times New Roman"/>
          <w:i/>
          <w:sz w:val="20"/>
          <w:szCs w:val="24"/>
        </w:rPr>
        <w:t>S. commune</w:t>
      </w:r>
      <w:r w:rsidRPr="00D91DFD">
        <w:rPr>
          <w:rFonts w:ascii="Times New Roman" w:hAnsi="Times New Roman" w:cs="Times New Roman"/>
          <w:sz w:val="20"/>
          <w:szCs w:val="24"/>
        </w:rPr>
        <w:t xml:space="preserve"> interaction with glass surfaces while providing the possibility to visualize the interaction microscopically. </w:t>
      </w:r>
    </w:p>
    <w:p w:rsidR="00771BC0" w:rsidRPr="00D91DFD" w:rsidRDefault="00771BC0" w:rsidP="00771BC0">
      <w:pPr>
        <w:jc w:val="both"/>
        <w:rPr>
          <w:rFonts w:ascii="Times New Roman" w:hAnsi="Times New Roman" w:cs="Times New Roman"/>
          <w:sz w:val="20"/>
          <w:szCs w:val="24"/>
        </w:rPr>
      </w:pPr>
      <w:r w:rsidRPr="00D91DFD">
        <w:rPr>
          <w:rFonts w:ascii="Times New Roman" w:hAnsi="Times New Roman" w:cs="Times New Roman"/>
          <w:b/>
          <w:sz w:val="20"/>
          <w:szCs w:val="24"/>
        </w:rPr>
        <w:t>Keywords:</w:t>
      </w:r>
      <w:r w:rsidRPr="00D91DFD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="00B20D71" w:rsidRPr="00D91DFD">
        <w:rPr>
          <w:rFonts w:ascii="Times New Roman" w:hAnsi="Times New Roman" w:cs="Times New Roman"/>
          <w:sz w:val="20"/>
          <w:szCs w:val="24"/>
        </w:rPr>
        <w:t>Hydrophobin</w:t>
      </w:r>
      <w:proofErr w:type="spellEnd"/>
      <w:r w:rsidRPr="00D91DFD">
        <w:rPr>
          <w:rFonts w:ascii="Times New Roman" w:hAnsi="Times New Roman" w:cs="Times New Roman"/>
          <w:sz w:val="20"/>
          <w:szCs w:val="24"/>
        </w:rPr>
        <w:t xml:space="preserve">, </w:t>
      </w:r>
      <w:r w:rsidR="00B20D71" w:rsidRPr="00D91DFD">
        <w:rPr>
          <w:rFonts w:ascii="Times New Roman" w:hAnsi="Times New Roman" w:cs="Times New Roman"/>
          <w:sz w:val="20"/>
          <w:szCs w:val="24"/>
        </w:rPr>
        <w:t xml:space="preserve">Structured </w:t>
      </w:r>
      <w:r w:rsidRPr="00D91DFD">
        <w:rPr>
          <w:rFonts w:ascii="Times New Roman" w:hAnsi="Times New Roman" w:cs="Times New Roman"/>
          <w:sz w:val="20"/>
          <w:szCs w:val="24"/>
        </w:rPr>
        <w:t xml:space="preserve">glass surfaces, </w:t>
      </w:r>
      <w:r w:rsidR="00B20D71" w:rsidRPr="00D91DFD">
        <w:rPr>
          <w:rFonts w:ascii="Times New Roman" w:hAnsi="Times New Roman" w:cs="Times New Roman"/>
          <w:sz w:val="20"/>
          <w:szCs w:val="24"/>
        </w:rPr>
        <w:t xml:space="preserve">Differential </w:t>
      </w:r>
      <w:r w:rsidRPr="00D91DFD">
        <w:rPr>
          <w:rFonts w:ascii="Times New Roman" w:hAnsi="Times New Roman" w:cs="Times New Roman"/>
          <w:sz w:val="20"/>
          <w:szCs w:val="24"/>
        </w:rPr>
        <w:t xml:space="preserve">gene expression, </w:t>
      </w:r>
      <w:r w:rsidR="00B20D71" w:rsidRPr="00D91DFD">
        <w:rPr>
          <w:rFonts w:ascii="Times New Roman" w:hAnsi="Times New Roman" w:cs="Times New Roman"/>
          <w:sz w:val="20"/>
          <w:szCs w:val="24"/>
        </w:rPr>
        <w:t xml:space="preserve">Quartz </w:t>
      </w:r>
      <w:r w:rsidRPr="00D91DFD">
        <w:rPr>
          <w:rFonts w:ascii="Times New Roman" w:hAnsi="Times New Roman" w:cs="Times New Roman"/>
          <w:sz w:val="20"/>
          <w:szCs w:val="24"/>
        </w:rPr>
        <w:t>sand</w:t>
      </w:r>
      <w:r w:rsidR="00B20D71">
        <w:rPr>
          <w:rFonts w:ascii="Times New Roman" w:hAnsi="Times New Roman" w:cs="Times New Roman"/>
          <w:sz w:val="20"/>
          <w:szCs w:val="24"/>
        </w:rPr>
        <w:t>.</w:t>
      </w:r>
    </w:p>
    <w:p w:rsidR="00771BC0" w:rsidRDefault="00771BC0" w:rsidP="00D91DFD">
      <w:pPr>
        <w:rPr>
          <w:rFonts w:ascii="Times New Roman" w:hAnsi="Times New Roman" w:cs="Times New Roman"/>
          <w:b/>
          <w:sz w:val="24"/>
          <w:szCs w:val="24"/>
        </w:rPr>
      </w:pPr>
      <w:r w:rsidRPr="00771BC0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771BC0" w:rsidRPr="00D91DFD" w:rsidRDefault="00850B9D" w:rsidP="00771BC0">
      <w:pPr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Evans </w:t>
      </w:r>
      <w:proofErr w:type="spellStart"/>
      <w:r>
        <w:rPr>
          <w:rFonts w:ascii="Times New Roman" w:hAnsi="Times New Roman" w:cs="Times New Roman"/>
          <w:sz w:val="20"/>
          <w:szCs w:val="24"/>
        </w:rPr>
        <w:t>Iyamu</w:t>
      </w:r>
      <w:proofErr w:type="spellEnd"/>
      <w:r w:rsidR="00771BC0" w:rsidRPr="00D91DFD">
        <w:rPr>
          <w:rFonts w:ascii="Times New Roman" w:hAnsi="Times New Roman" w:cs="Times New Roman"/>
          <w:sz w:val="20"/>
          <w:szCs w:val="24"/>
        </w:rPr>
        <w:t xml:space="preserve"> is affiliated to the F</w:t>
      </w:r>
      <w:bookmarkStart w:id="0" w:name="_GoBack"/>
      <w:bookmarkEnd w:id="0"/>
      <w:r w:rsidR="00771BC0" w:rsidRPr="00D91DFD">
        <w:rPr>
          <w:rFonts w:ascii="Times New Roman" w:hAnsi="Times New Roman" w:cs="Times New Roman"/>
          <w:sz w:val="20"/>
          <w:szCs w:val="24"/>
        </w:rPr>
        <w:t xml:space="preserve">riedrich Schiller University Jena, Institute of Microbiology, Microbial Communication, </w:t>
      </w:r>
      <w:proofErr w:type="gramStart"/>
      <w:r w:rsidR="00771BC0" w:rsidRPr="00D91DFD">
        <w:rPr>
          <w:rFonts w:ascii="Times New Roman" w:hAnsi="Times New Roman" w:cs="Times New Roman"/>
          <w:sz w:val="20"/>
          <w:szCs w:val="24"/>
        </w:rPr>
        <w:t>Jena</w:t>
      </w:r>
      <w:proofErr w:type="gramEnd"/>
      <w:r w:rsidR="00771BC0" w:rsidRPr="00D91DFD">
        <w:rPr>
          <w:rFonts w:ascii="Times New Roman" w:hAnsi="Times New Roman" w:cs="Times New Roman"/>
          <w:sz w:val="20"/>
          <w:szCs w:val="24"/>
        </w:rPr>
        <w:t>, Germany.</w:t>
      </w:r>
    </w:p>
    <w:sectPr w:rsidR="00771BC0" w:rsidRPr="00D91D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8ED"/>
    <w:rsid w:val="005B740A"/>
    <w:rsid w:val="00771BC0"/>
    <w:rsid w:val="00850B9D"/>
    <w:rsid w:val="00B20D71"/>
    <w:rsid w:val="00BA68ED"/>
    <w:rsid w:val="00D91DFD"/>
    <w:rsid w:val="00E6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Conference World Chemistry 2021</dc:creator>
  <cp:keywords/>
  <dc:description/>
  <cp:lastModifiedBy>Swetha Sandala</cp:lastModifiedBy>
  <cp:revision>3</cp:revision>
  <dcterms:created xsi:type="dcterms:W3CDTF">2023-02-08T05:35:00Z</dcterms:created>
  <dcterms:modified xsi:type="dcterms:W3CDTF">2023-02-09T13:06:00Z</dcterms:modified>
</cp:coreProperties>
</file>