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0912" w:rsidRPr="00E20912" w:rsidRDefault="00E20912" w:rsidP="00E20912">
      <w:pPr>
        <w:rPr>
          <w:rFonts w:ascii="Times New Roman" w:hAnsi="Times New Roman" w:cs="Times New Roman"/>
          <w:b/>
          <w:sz w:val="32"/>
          <w:szCs w:val="24"/>
        </w:rPr>
      </w:pPr>
      <w:r w:rsidRPr="00E20912">
        <w:rPr>
          <w:rFonts w:ascii="Times New Roman" w:hAnsi="Times New Roman" w:cs="Times New Roman"/>
          <w:b/>
          <w:sz w:val="32"/>
          <w:szCs w:val="24"/>
        </w:rPr>
        <w:t>Predictive power of fat mass index, visceral adiposity index</w:t>
      </w:r>
      <w:r>
        <w:rPr>
          <w:rFonts w:ascii="Times New Roman" w:hAnsi="Times New Roman" w:cs="Times New Roman"/>
          <w:b/>
          <w:sz w:val="32"/>
          <w:szCs w:val="24"/>
        </w:rPr>
        <w:t xml:space="preserve"> and</w:t>
      </w:r>
      <w:r w:rsidRPr="00E20912">
        <w:rPr>
          <w:rFonts w:ascii="Times New Roman" w:hAnsi="Times New Roman" w:cs="Times New Roman"/>
          <w:b/>
          <w:sz w:val="32"/>
          <w:szCs w:val="24"/>
        </w:rPr>
        <w:t xml:space="preserve"> body shape index in presence of type 2 diabetes mellitus</w:t>
      </w:r>
    </w:p>
    <w:p w:rsidR="00E20912" w:rsidRPr="00E20912" w:rsidRDefault="00E20912" w:rsidP="00E20912">
      <w:pPr>
        <w:rPr>
          <w:rFonts w:ascii="Times New Roman" w:hAnsi="Times New Roman" w:cs="Times New Roman"/>
          <w:sz w:val="24"/>
          <w:szCs w:val="24"/>
        </w:rPr>
      </w:pPr>
      <w:proofErr w:type="spellStart"/>
      <w:r w:rsidRPr="00E20912">
        <w:rPr>
          <w:rFonts w:ascii="Times New Roman" w:hAnsi="Times New Roman" w:cs="Times New Roman"/>
          <w:sz w:val="24"/>
          <w:szCs w:val="24"/>
        </w:rPr>
        <w:t>Mehnoosh</w:t>
      </w:r>
      <w:proofErr w:type="spellEnd"/>
      <w:r w:rsidRPr="00E20912">
        <w:rPr>
          <w:rFonts w:ascii="Times New Roman" w:hAnsi="Times New Roman" w:cs="Times New Roman"/>
          <w:sz w:val="24"/>
          <w:szCs w:val="24"/>
        </w:rPr>
        <w:t xml:space="preserve"> </w:t>
      </w:r>
      <w:proofErr w:type="spellStart"/>
      <w:r w:rsidRPr="00E20912">
        <w:rPr>
          <w:rFonts w:ascii="Times New Roman" w:hAnsi="Times New Roman" w:cs="Times New Roman"/>
          <w:sz w:val="24"/>
          <w:szCs w:val="24"/>
        </w:rPr>
        <w:t>Samadi</w:t>
      </w:r>
      <w:proofErr w:type="spellEnd"/>
    </w:p>
    <w:p w:rsidR="00E20912" w:rsidRPr="00E20912" w:rsidRDefault="00E20912" w:rsidP="00E20912">
      <w:pPr>
        <w:rPr>
          <w:rFonts w:ascii="Times New Roman" w:hAnsi="Times New Roman" w:cs="Times New Roman"/>
          <w:szCs w:val="24"/>
        </w:rPr>
      </w:pPr>
      <w:r w:rsidRPr="00E20912">
        <w:rPr>
          <w:rFonts w:ascii="Times New Roman" w:hAnsi="Times New Roman" w:cs="Times New Roman"/>
          <w:szCs w:val="24"/>
        </w:rPr>
        <w:t>Kermanshah University of Medical Sciences, Iran</w:t>
      </w:r>
    </w:p>
    <w:p w:rsidR="00E20912" w:rsidRPr="00E20912" w:rsidRDefault="00E20912" w:rsidP="00E20912">
      <w:pPr>
        <w:jc w:val="center"/>
        <w:rPr>
          <w:rFonts w:ascii="Times New Roman" w:hAnsi="Times New Roman" w:cs="Times New Roman"/>
          <w:b/>
          <w:sz w:val="24"/>
          <w:szCs w:val="24"/>
        </w:rPr>
      </w:pPr>
      <w:r w:rsidRPr="00E20912">
        <w:rPr>
          <w:rFonts w:ascii="Times New Roman" w:hAnsi="Times New Roman" w:cs="Times New Roman"/>
          <w:b/>
          <w:sz w:val="24"/>
          <w:szCs w:val="24"/>
        </w:rPr>
        <w:t>Abstract</w:t>
      </w:r>
    </w:p>
    <w:p w:rsidR="00E20912" w:rsidRPr="00E20912" w:rsidRDefault="00E20912" w:rsidP="00E20912">
      <w:pPr>
        <w:jc w:val="both"/>
        <w:rPr>
          <w:rFonts w:ascii="Times New Roman" w:hAnsi="Times New Roman" w:cs="Times New Roman"/>
          <w:sz w:val="20"/>
          <w:szCs w:val="24"/>
        </w:rPr>
      </w:pPr>
      <w:r w:rsidRPr="00E20912">
        <w:rPr>
          <w:rFonts w:ascii="Times New Roman" w:hAnsi="Times New Roman" w:cs="Times New Roman"/>
          <w:sz w:val="20"/>
          <w:szCs w:val="24"/>
        </w:rPr>
        <w:t xml:space="preserve">Obesity and fat mass accumulation are the main culprits in metabolic disorders and insulin resistance, which predispose to diabetes and metabolic syndrome. Recent studies have proposed tools such as anthropometric indices to predict diabetes. In this study, we examined the FMI (Fat Mass Index), VAI (Visceral Adiposity Index) and ABSI (A Body Shape Index) </w:t>
      </w:r>
      <w:r w:rsidRPr="00E20912">
        <w:rPr>
          <w:rFonts w:ascii="Times New Roman" w:hAnsi="Times New Roman" w:cs="Times New Roman"/>
          <w:sz w:val="20"/>
          <w:szCs w:val="24"/>
        </w:rPr>
        <w:t>which</w:t>
      </w:r>
      <w:r w:rsidRPr="00E20912">
        <w:rPr>
          <w:rFonts w:ascii="Times New Roman" w:hAnsi="Times New Roman" w:cs="Times New Roman"/>
          <w:sz w:val="20"/>
          <w:szCs w:val="24"/>
        </w:rPr>
        <w:t xml:space="preserve"> are related to fat mass and its distribution in the body, in incidence of </w:t>
      </w:r>
      <w:r w:rsidRPr="00E20912">
        <w:rPr>
          <w:rFonts w:ascii="Times New Roman" w:hAnsi="Times New Roman" w:cs="Times New Roman"/>
          <w:sz w:val="20"/>
          <w:szCs w:val="24"/>
        </w:rPr>
        <w:t xml:space="preserve">Type </w:t>
      </w:r>
      <w:r w:rsidRPr="00E20912">
        <w:rPr>
          <w:rFonts w:ascii="Times New Roman" w:hAnsi="Times New Roman" w:cs="Times New Roman"/>
          <w:sz w:val="20"/>
          <w:szCs w:val="24"/>
        </w:rPr>
        <w:t xml:space="preserve">2 </w:t>
      </w:r>
      <w:r w:rsidRPr="00E20912">
        <w:rPr>
          <w:rFonts w:ascii="Times New Roman" w:hAnsi="Times New Roman" w:cs="Times New Roman"/>
          <w:sz w:val="20"/>
          <w:szCs w:val="24"/>
        </w:rPr>
        <w:t xml:space="preserve">Diabetes </w:t>
      </w:r>
      <w:r w:rsidRPr="00E20912">
        <w:rPr>
          <w:rFonts w:ascii="Times New Roman" w:hAnsi="Times New Roman" w:cs="Times New Roman"/>
          <w:sz w:val="20"/>
          <w:szCs w:val="24"/>
        </w:rPr>
        <w:t>(T2D).</w:t>
      </w:r>
      <w:bookmarkStart w:id="0" w:name="_GoBack"/>
      <w:bookmarkEnd w:id="0"/>
    </w:p>
    <w:p w:rsidR="00E20912" w:rsidRPr="00E20912" w:rsidRDefault="00E20912" w:rsidP="00E20912">
      <w:pPr>
        <w:jc w:val="both"/>
        <w:rPr>
          <w:rFonts w:ascii="Times New Roman" w:hAnsi="Times New Roman" w:cs="Times New Roman"/>
          <w:sz w:val="20"/>
          <w:szCs w:val="24"/>
        </w:rPr>
      </w:pPr>
      <w:r w:rsidRPr="00E20912">
        <w:rPr>
          <w:rFonts w:ascii="Times New Roman" w:hAnsi="Times New Roman" w:cs="Times New Roman"/>
          <w:sz w:val="20"/>
          <w:szCs w:val="24"/>
        </w:rPr>
        <w:t xml:space="preserve">This study is a cross-sectional study that used </w:t>
      </w:r>
      <w:proofErr w:type="spellStart"/>
      <w:r w:rsidRPr="00E20912">
        <w:rPr>
          <w:rFonts w:ascii="Times New Roman" w:hAnsi="Times New Roman" w:cs="Times New Roman"/>
          <w:sz w:val="20"/>
          <w:szCs w:val="24"/>
        </w:rPr>
        <w:t>RaNCD</w:t>
      </w:r>
      <w:proofErr w:type="spellEnd"/>
      <w:r w:rsidRPr="00E20912">
        <w:rPr>
          <w:rFonts w:ascii="Times New Roman" w:hAnsi="Times New Roman" w:cs="Times New Roman"/>
          <w:sz w:val="20"/>
          <w:szCs w:val="24"/>
        </w:rPr>
        <w:t xml:space="preserve"> cohort data. The </w:t>
      </w:r>
      <w:proofErr w:type="spellStart"/>
      <w:r w:rsidRPr="00E20912">
        <w:rPr>
          <w:rFonts w:ascii="Times New Roman" w:hAnsi="Times New Roman" w:cs="Times New Roman"/>
          <w:sz w:val="20"/>
          <w:szCs w:val="24"/>
        </w:rPr>
        <w:t>RaNCD</w:t>
      </w:r>
      <w:proofErr w:type="spellEnd"/>
      <w:r w:rsidRPr="00E20912">
        <w:rPr>
          <w:rFonts w:ascii="Times New Roman" w:hAnsi="Times New Roman" w:cs="Times New Roman"/>
          <w:sz w:val="20"/>
          <w:szCs w:val="24"/>
        </w:rPr>
        <w:t xml:space="preserve"> study is a prospective population-based study that has been conducted to evaluate chronic diseases in </w:t>
      </w:r>
      <w:proofErr w:type="spellStart"/>
      <w:r w:rsidRPr="00E20912">
        <w:rPr>
          <w:rFonts w:ascii="Times New Roman" w:hAnsi="Times New Roman" w:cs="Times New Roman"/>
          <w:sz w:val="20"/>
          <w:szCs w:val="24"/>
        </w:rPr>
        <w:t>Ravensar</w:t>
      </w:r>
      <w:proofErr w:type="spellEnd"/>
      <w:r w:rsidRPr="00E20912">
        <w:rPr>
          <w:rFonts w:ascii="Times New Roman" w:hAnsi="Times New Roman" w:cs="Times New Roman"/>
          <w:sz w:val="20"/>
          <w:szCs w:val="24"/>
        </w:rPr>
        <w:t xml:space="preserve"> since 2014 on 10051 </w:t>
      </w:r>
      <w:r w:rsidRPr="00E20912">
        <w:rPr>
          <w:rFonts w:ascii="Times New Roman" w:hAnsi="Times New Roman" w:cs="Times New Roman"/>
          <w:sz w:val="20"/>
          <w:szCs w:val="24"/>
        </w:rPr>
        <w:t>adult’s</w:t>
      </w:r>
      <w:r w:rsidRPr="00E20912">
        <w:rPr>
          <w:rFonts w:ascii="Times New Roman" w:hAnsi="Times New Roman" w:cs="Times New Roman"/>
          <w:sz w:val="20"/>
          <w:szCs w:val="24"/>
        </w:rPr>
        <w:t xml:space="preserve"> age 35-65 years. The </w:t>
      </w:r>
      <w:r w:rsidRPr="00E20912">
        <w:rPr>
          <w:rFonts w:ascii="Times New Roman" w:hAnsi="Times New Roman" w:cs="Times New Roman"/>
          <w:sz w:val="20"/>
          <w:szCs w:val="24"/>
        </w:rPr>
        <w:t xml:space="preserve">Area </w:t>
      </w:r>
      <w:proofErr w:type="gramStart"/>
      <w:r w:rsidRPr="00E20912">
        <w:rPr>
          <w:rFonts w:ascii="Times New Roman" w:hAnsi="Times New Roman" w:cs="Times New Roman"/>
          <w:sz w:val="20"/>
          <w:szCs w:val="24"/>
        </w:rPr>
        <w:t>Under</w:t>
      </w:r>
      <w:proofErr w:type="gramEnd"/>
      <w:r w:rsidRPr="00E20912">
        <w:rPr>
          <w:rFonts w:ascii="Times New Roman" w:hAnsi="Times New Roman" w:cs="Times New Roman"/>
          <w:sz w:val="20"/>
          <w:szCs w:val="24"/>
        </w:rPr>
        <w:t xml:space="preserve"> </w:t>
      </w:r>
      <w:r w:rsidRPr="00E20912">
        <w:rPr>
          <w:rFonts w:ascii="Times New Roman" w:hAnsi="Times New Roman" w:cs="Times New Roman"/>
          <w:sz w:val="20"/>
          <w:szCs w:val="24"/>
        </w:rPr>
        <w:t xml:space="preserve">the </w:t>
      </w:r>
      <w:r w:rsidRPr="00E20912">
        <w:rPr>
          <w:rFonts w:ascii="Times New Roman" w:hAnsi="Times New Roman" w:cs="Times New Roman"/>
          <w:sz w:val="20"/>
          <w:szCs w:val="24"/>
        </w:rPr>
        <w:t xml:space="preserve">Receiver Operating Characteristics </w:t>
      </w:r>
      <w:r w:rsidRPr="00E20912">
        <w:rPr>
          <w:rFonts w:ascii="Times New Roman" w:hAnsi="Times New Roman" w:cs="Times New Roman"/>
          <w:sz w:val="20"/>
          <w:szCs w:val="24"/>
        </w:rPr>
        <w:t xml:space="preserve">(ROC) </w:t>
      </w:r>
      <w:r w:rsidRPr="00E20912">
        <w:rPr>
          <w:rFonts w:ascii="Times New Roman" w:hAnsi="Times New Roman" w:cs="Times New Roman"/>
          <w:sz w:val="20"/>
          <w:szCs w:val="24"/>
        </w:rPr>
        <w:t xml:space="preserve">Curves </w:t>
      </w:r>
      <w:r w:rsidRPr="00E20912">
        <w:rPr>
          <w:rFonts w:ascii="Times New Roman" w:hAnsi="Times New Roman" w:cs="Times New Roman"/>
          <w:sz w:val="20"/>
          <w:szCs w:val="24"/>
        </w:rPr>
        <w:t xml:space="preserve">(AUC) was calculated to compare the discriminative power of anthropometric variables for incident T2D. Also, the cut-off points of each index were calculated through the ROC curve </w:t>
      </w:r>
      <w:r w:rsidRPr="00E20912">
        <w:rPr>
          <w:rFonts w:ascii="Times New Roman" w:hAnsi="Times New Roman" w:cs="Times New Roman"/>
          <w:sz w:val="20"/>
          <w:szCs w:val="24"/>
        </w:rPr>
        <w:t>analysis</w:t>
      </w:r>
      <w:r w:rsidRPr="00E20912">
        <w:rPr>
          <w:rFonts w:ascii="Times New Roman" w:hAnsi="Times New Roman" w:cs="Times New Roman"/>
          <w:sz w:val="20"/>
          <w:szCs w:val="24"/>
        </w:rPr>
        <w:t>.</w:t>
      </w:r>
    </w:p>
    <w:p w:rsidR="00E20912" w:rsidRPr="00E20912" w:rsidRDefault="00E20912" w:rsidP="00E20912">
      <w:pPr>
        <w:jc w:val="both"/>
        <w:rPr>
          <w:rFonts w:ascii="Times New Roman" w:hAnsi="Times New Roman" w:cs="Times New Roman"/>
          <w:sz w:val="20"/>
          <w:szCs w:val="24"/>
        </w:rPr>
      </w:pPr>
      <w:r w:rsidRPr="00E20912">
        <w:rPr>
          <w:rFonts w:ascii="Times New Roman" w:hAnsi="Times New Roman" w:cs="Times New Roman"/>
          <w:sz w:val="20"/>
          <w:szCs w:val="24"/>
        </w:rPr>
        <w:t>According to our findings, all indices except ABSI had a significant relationship with the incidence of T2D. FMI in men (OR</w:t>
      </w:r>
      <w:proofErr w:type="gramStart"/>
      <w:r w:rsidRPr="00E20912">
        <w:rPr>
          <w:rFonts w:ascii="Times New Roman" w:hAnsi="Times New Roman" w:cs="Times New Roman"/>
          <w:sz w:val="20"/>
          <w:szCs w:val="24"/>
        </w:rPr>
        <w:t>,1.13</w:t>
      </w:r>
      <w:proofErr w:type="gramEnd"/>
      <w:r w:rsidRPr="00E20912">
        <w:rPr>
          <w:rFonts w:ascii="Times New Roman" w:hAnsi="Times New Roman" w:cs="Times New Roman"/>
          <w:sz w:val="20"/>
          <w:szCs w:val="24"/>
        </w:rPr>
        <w:t xml:space="preserve">; 95% CI,1.09-1.18) And VAI in women (OR,1.10; 95% CI,1.07-1.12) had the highest association whit incident of T2D. </w:t>
      </w:r>
      <w:r w:rsidRPr="00E20912">
        <w:rPr>
          <w:rFonts w:ascii="Times New Roman" w:hAnsi="Times New Roman" w:cs="Times New Roman"/>
          <w:sz w:val="20"/>
          <w:szCs w:val="24"/>
        </w:rPr>
        <w:t>The</w:t>
      </w:r>
      <w:r w:rsidRPr="00E20912">
        <w:rPr>
          <w:rFonts w:ascii="Times New Roman" w:hAnsi="Times New Roman" w:cs="Times New Roman"/>
          <w:sz w:val="20"/>
          <w:szCs w:val="24"/>
        </w:rPr>
        <w:t>, Results of ROC curve analysis showed that VAI had the largest area under the curve (0.67)</w:t>
      </w:r>
      <w:r>
        <w:rPr>
          <w:rFonts w:ascii="Times New Roman" w:hAnsi="Times New Roman" w:cs="Times New Roman"/>
          <w:sz w:val="20"/>
          <w:szCs w:val="24"/>
        </w:rPr>
        <w:t xml:space="preserve"> and</w:t>
      </w:r>
      <w:r w:rsidRPr="00E20912">
        <w:rPr>
          <w:rFonts w:ascii="Times New Roman" w:hAnsi="Times New Roman" w:cs="Times New Roman"/>
          <w:sz w:val="20"/>
          <w:szCs w:val="24"/>
        </w:rPr>
        <w:t xml:space="preserve"> ABSI had the lowest area (0.53). Also cut-off points for FMI and VAI were 7.5 and 4.82 in men and 11.7 and 5.10 in women, respectively.</w:t>
      </w:r>
    </w:p>
    <w:p w:rsidR="00E20912" w:rsidRPr="00E20912" w:rsidRDefault="00E20912" w:rsidP="00E20912">
      <w:pPr>
        <w:jc w:val="both"/>
        <w:rPr>
          <w:rFonts w:ascii="Times New Roman" w:hAnsi="Times New Roman" w:cs="Times New Roman"/>
          <w:sz w:val="20"/>
          <w:szCs w:val="24"/>
        </w:rPr>
      </w:pPr>
      <w:r w:rsidRPr="00E20912">
        <w:rPr>
          <w:rFonts w:ascii="Times New Roman" w:hAnsi="Times New Roman" w:cs="Times New Roman"/>
          <w:sz w:val="20"/>
          <w:szCs w:val="24"/>
        </w:rPr>
        <w:t>Identification of diabetes risk factors can help to prevent this chronic disease. We suggested that VAI and FMI can be a good predictor of T2D incidence in comparison with other conventional indices.</w:t>
      </w:r>
    </w:p>
    <w:p w:rsidR="00E20912" w:rsidRPr="00E20912" w:rsidRDefault="00E20912" w:rsidP="00E20912">
      <w:pPr>
        <w:rPr>
          <w:rFonts w:ascii="Times New Roman" w:hAnsi="Times New Roman" w:cs="Times New Roman"/>
          <w:b/>
          <w:sz w:val="24"/>
          <w:szCs w:val="24"/>
        </w:rPr>
      </w:pPr>
      <w:r w:rsidRPr="00E20912">
        <w:rPr>
          <w:rFonts w:ascii="Times New Roman" w:hAnsi="Times New Roman" w:cs="Times New Roman"/>
          <w:b/>
          <w:sz w:val="24"/>
          <w:szCs w:val="24"/>
        </w:rPr>
        <w:t>Biography</w:t>
      </w:r>
    </w:p>
    <w:p w:rsidR="00474203" w:rsidRPr="00E20912" w:rsidRDefault="00E20912" w:rsidP="00E20912">
      <w:pPr>
        <w:tabs>
          <w:tab w:val="left" w:pos="1215"/>
        </w:tabs>
        <w:jc w:val="both"/>
        <w:rPr>
          <w:rFonts w:ascii="Times New Roman" w:hAnsi="Times New Roman" w:cs="Times New Roman"/>
          <w:sz w:val="20"/>
          <w:szCs w:val="24"/>
        </w:rPr>
      </w:pPr>
      <w:proofErr w:type="spellStart"/>
      <w:r w:rsidRPr="00E20912">
        <w:rPr>
          <w:rFonts w:ascii="Times New Roman" w:hAnsi="Times New Roman" w:cs="Times New Roman"/>
          <w:sz w:val="20"/>
          <w:szCs w:val="24"/>
        </w:rPr>
        <w:t>Mehnoosh</w:t>
      </w:r>
      <w:proofErr w:type="spellEnd"/>
      <w:r w:rsidRPr="00E20912">
        <w:rPr>
          <w:rFonts w:ascii="Times New Roman" w:hAnsi="Times New Roman" w:cs="Times New Roman"/>
          <w:sz w:val="20"/>
          <w:szCs w:val="24"/>
        </w:rPr>
        <w:t xml:space="preserve"> </w:t>
      </w:r>
      <w:proofErr w:type="spellStart"/>
      <w:r w:rsidRPr="00E20912">
        <w:rPr>
          <w:rFonts w:ascii="Times New Roman" w:hAnsi="Times New Roman" w:cs="Times New Roman"/>
          <w:sz w:val="20"/>
          <w:szCs w:val="24"/>
        </w:rPr>
        <w:t>Samadi</w:t>
      </w:r>
      <w:proofErr w:type="spellEnd"/>
      <w:r w:rsidRPr="00E20912">
        <w:rPr>
          <w:rFonts w:ascii="Times New Roman" w:hAnsi="Times New Roman" w:cs="Times New Roman"/>
          <w:sz w:val="20"/>
          <w:szCs w:val="24"/>
        </w:rPr>
        <w:t xml:space="preserve"> has completed PhD at the age of 32 years from Ahvaz </w:t>
      </w:r>
      <w:proofErr w:type="spellStart"/>
      <w:r w:rsidRPr="00E20912">
        <w:rPr>
          <w:rFonts w:ascii="Times New Roman" w:hAnsi="Times New Roman" w:cs="Times New Roman"/>
          <w:sz w:val="20"/>
          <w:szCs w:val="24"/>
        </w:rPr>
        <w:t>Jundishapur</w:t>
      </w:r>
      <w:proofErr w:type="spellEnd"/>
      <w:r w:rsidRPr="00E20912">
        <w:rPr>
          <w:rFonts w:ascii="Times New Roman" w:hAnsi="Times New Roman" w:cs="Times New Roman"/>
          <w:sz w:val="20"/>
          <w:szCs w:val="24"/>
        </w:rPr>
        <w:t xml:space="preserve"> University of medical sciences. She is the assistant professor of Nutritional science department in School of Nutritional Science and Food Technology of Kermanshah University of Medical Sciences, Iran. She has published many papers in reputed journals and has been serving as an editorial board member of repute.</w:t>
      </w:r>
    </w:p>
    <w:sectPr w:rsidR="00474203" w:rsidRPr="00E209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912"/>
    <w:rsid w:val="0032354D"/>
    <w:rsid w:val="00474203"/>
    <w:rsid w:val="00535872"/>
    <w:rsid w:val="00924B33"/>
    <w:rsid w:val="00E20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332</Words>
  <Characters>1894</Characters>
  <Application>Microsoft Office Word</Application>
  <DocSecurity>0</DocSecurity>
  <Lines>15</Lines>
  <Paragraphs>4</Paragraphs>
  <ScaleCrop>false</ScaleCrop>
  <Company/>
  <LinksUpToDate>false</LinksUpToDate>
  <CharactersWithSpaces>2222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2023-05-18T04:50:00Z</dcterms:created>
  <dcterms:modified xsi:type="dcterms:W3CDTF">2023-05-18T05:00:00Z</dcterms:modified>
</cp:coreProperties>
</file>