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FA2" w:rsidRPr="00543FA2" w:rsidRDefault="00543FA2" w:rsidP="00543FA2">
      <w:pPr>
        <w:rPr>
          <w:rFonts w:ascii="Times New Roman" w:hAnsi="Times New Roman" w:cs="Times New Roman"/>
          <w:b/>
          <w:sz w:val="32"/>
        </w:rPr>
      </w:pPr>
      <w:bookmarkStart w:id="0" w:name="_GoBack"/>
      <w:r w:rsidRPr="00543FA2">
        <w:rPr>
          <w:rFonts w:ascii="Times New Roman" w:hAnsi="Times New Roman" w:cs="Times New Roman"/>
          <w:b/>
          <w:sz w:val="32"/>
        </w:rPr>
        <w:t xml:space="preserve">Is upper medial canthus compression enough during filler injection in glabella? </w:t>
      </w:r>
    </w:p>
    <w:p w:rsidR="00543FA2" w:rsidRPr="00543FA2" w:rsidRDefault="00543FA2" w:rsidP="00543FA2">
      <w:pPr>
        <w:rPr>
          <w:rFonts w:ascii="Times New Roman" w:hAnsi="Times New Roman" w:cs="Times New Roman"/>
          <w:sz w:val="24"/>
        </w:rPr>
      </w:pPr>
      <w:r w:rsidRPr="00543FA2">
        <w:rPr>
          <w:rFonts w:ascii="Times New Roman" w:hAnsi="Times New Roman" w:cs="Times New Roman"/>
          <w:sz w:val="24"/>
        </w:rPr>
        <w:t xml:space="preserve">Ahmad </w:t>
      </w:r>
      <w:proofErr w:type="spellStart"/>
      <w:r w:rsidRPr="00543FA2">
        <w:rPr>
          <w:rFonts w:ascii="Times New Roman" w:hAnsi="Times New Roman" w:cs="Times New Roman"/>
          <w:sz w:val="24"/>
        </w:rPr>
        <w:t>Nazari</w:t>
      </w:r>
      <w:proofErr w:type="spellEnd"/>
      <w:r w:rsidRPr="00543FA2">
        <w:rPr>
          <w:rFonts w:ascii="Times New Roman" w:hAnsi="Times New Roman" w:cs="Times New Roman"/>
          <w:sz w:val="24"/>
        </w:rPr>
        <w:t xml:space="preserve"> </w:t>
      </w:r>
    </w:p>
    <w:p w:rsidR="00543FA2" w:rsidRPr="00543FA2" w:rsidRDefault="00543FA2" w:rsidP="00543FA2">
      <w:pPr>
        <w:rPr>
          <w:rFonts w:ascii="Times New Roman" w:hAnsi="Times New Roman" w:cs="Times New Roman"/>
        </w:rPr>
      </w:pPr>
      <w:r w:rsidRPr="00543FA2">
        <w:rPr>
          <w:rFonts w:ascii="Times New Roman" w:hAnsi="Times New Roman" w:cs="Times New Roman"/>
        </w:rPr>
        <w:t>Tehran University of Medical Science, Iran</w:t>
      </w:r>
    </w:p>
    <w:p w:rsidR="00543FA2" w:rsidRPr="00543FA2" w:rsidRDefault="00543FA2" w:rsidP="00543FA2">
      <w:pPr>
        <w:jc w:val="center"/>
        <w:rPr>
          <w:rFonts w:ascii="Times New Roman" w:hAnsi="Times New Roman" w:cs="Times New Roman"/>
          <w:b/>
          <w:sz w:val="24"/>
        </w:rPr>
      </w:pPr>
      <w:r w:rsidRPr="00543FA2">
        <w:rPr>
          <w:rFonts w:ascii="Times New Roman" w:hAnsi="Times New Roman" w:cs="Times New Roman"/>
          <w:b/>
          <w:sz w:val="24"/>
        </w:rPr>
        <w:t>Abstract</w:t>
      </w:r>
    </w:p>
    <w:p w:rsidR="00543FA2" w:rsidRDefault="00543FA2" w:rsidP="00543FA2">
      <w:pPr>
        <w:jc w:val="both"/>
        <w:rPr>
          <w:rFonts w:ascii="Times New Roman" w:hAnsi="Times New Roman" w:cs="Times New Roman"/>
          <w:sz w:val="20"/>
        </w:rPr>
      </w:pPr>
      <w:r w:rsidRPr="00543FA2">
        <w:rPr>
          <w:rFonts w:ascii="Times New Roman" w:hAnsi="Times New Roman" w:cs="Times New Roman"/>
          <w:sz w:val="20"/>
        </w:rPr>
        <w:t xml:space="preserve">Hyaluronic </w:t>
      </w:r>
      <w:r w:rsidRPr="00543FA2">
        <w:rPr>
          <w:rFonts w:ascii="Times New Roman" w:hAnsi="Times New Roman" w:cs="Times New Roman"/>
          <w:sz w:val="20"/>
        </w:rPr>
        <w:t xml:space="preserve">Acid </w:t>
      </w:r>
      <w:r w:rsidRPr="00543FA2">
        <w:rPr>
          <w:rFonts w:ascii="Times New Roman" w:hAnsi="Times New Roman" w:cs="Times New Roman"/>
          <w:sz w:val="20"/>
        </w:rPr>
        <w:t xml:space="preserve">(HA) fillers have been widely used for reversing the signs of the aging face. Injectable fillers are particularly effective in treating vertical </w:t>
      </w:r>
      <w:proofErr w:type="spellStart"/>
      <w:r w:rsidRPr="00543FA2">
        <w:rPr>
          <w:rFonts w:ascii="Times New Roman" w:hAnsi="Times New Roman" w:cs="Times New Roman"/>
          <w:sz w:val="20"/>
        </w:rPr>
        <w:t>glabellar</w:t>
      </w:r>
      <w:proofErr w:type="spellEnd"/>
      <w:r w:rsidRPr="00543FA2">
        <w:rPr>
          <w:rFonts w:ascii="Times New Roman" w:hAnsi="Times New Roman" w:cs="Times New Roman"/>
          <w:sz w:val="20"/>
        </w:rPr>
        <w:t xml:space="preserve"> wrinkles. One of the dangerous complications of this injection is blindness. While many studies suggest compressing the upper medial canthus region with a non-dominant finger while injecting in the vertical wrinkles of the glabella region, we investigated by ultrasound how effective the compression is in this region in avoiding retrograde embolism (Figure 1).</w:t>
      </w:r>
    </w:p>
    <w:p w:rsidR="005339CD" w:rsidRDefault="005339CD" w:rsidP="005339CD">
      <w:pPr>
        <w:jc w:val="center"/>
        <w:rPr>
          <w:rFonts w:ascii="Times New Roman" w:hAnsi="Times New Roman" w:cs="Times New Roman"/>
          <w:sz w:val="20"/>
        </w:rPr>
      </w:pPr>
      <w:r>
        <w:rPr>
          <w:rFonts w:ascii="Times New Roman" w:hAnsi="Times New Roman" w:cs="Times New Roman"/>
          <w:noProof/>
          <w:sz w:val="20"/>
        </w:rPr>
        <w:drawing>
          <wp:inline distT="0" distB="0" distL="0" distR="0">
            <wp:extent cx="2989690" cy="834886"/>
            <wp:effectExtent l="0" t="0" r="1270" b="3810"/>
            <wp:docPr id="11" name="Picture 11" descr="C:\Users\swetha-s\Downloads\SWETHA\April 2023\14-04-2023\Dermatology Medicine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wetha-s\Downloads\SWETHA\April 2023\14-04-2023\Dermatology Medicine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89580" cy="834855"/>
                    </a:xfrm>
                    <a:prstGeom prst="rect">
                      <a:avLst/>
                    </a:prstGeom>
                    <a:noFill/>
                    <a:ln>
                      <a:noFill/>
                    </a:ln>
                  </pic:spPr>
                </pic:pic>
              </a:graphicData>
            </a:graphic>
          </wp:inline>
        </w:drawing>
      </w:r>
    </w:p>
    <w:p w:rsidR="005339CD" w:rsidRPr="005339CD" w:rsidRDefault="005339CD" w:rsidP="005339CD">
      <w:pPr>
        <w:jc w:val="center"/>
        <w:rPr>
          <w:rFonts w:ascii="Times New Roman" w:hAnsi="Times New Roman" w:cs="Times New Roman"/>
          <w:i/>
          <w:sz w:val="18"/>
        </w:rPr>
      </w:pPr>
      <w:proofErr w:type="gramStart"/>
      <w:r w:rsidRPr="005339CD">
        <w:rPr>
          <w:rFonts w:ascii="Times New Roman" w:hAnsi="Times New Roman" w:cs="Times New Roman"/>
          <w:b/>
          <w:i/>
          <w:sz w:val="18"/>
        </w:rPr>
        <w:t>Figure 1.</w:t>
      </w:r>
      <w:proofErr w:type="gramEnd"/>
      <w:r w:rsidRPr="005339CD">
        <w:rPr>
          <w:rFonts w:ascii="Times New Roman" w:hAnsi="Times New Roman" w:cs="Times New Roman"/>
          <w:i/>
          <w:sz w:val="18"/>
        </w:rPr>
        <w:t xml:space="preserve"> Retrograde embolism mechanism.</w:t>
      </w:r>
    </w:p>
    <w:p w:rsidR="00543FA2" w:rsidRDefault="00543FA2" w:rsidP="00543FA2">
      <w:pPr>
        <w:jc w:val="both"/>
        <w:rPr>
          <w:rFonts w:ascii="Times New Roman" w:hAnsi="Times New Roman" w:cs="Times New Roman"/>
          <w:sz w:val="20"/>
        </w:rPr>
      </w:pPr>
      <w:r w:rsidRPr="00543FA2">
        <w:rPr>
          <w:rFonts w:ascii="Times New Roman" w:hAnsi="Times New Roman" w:cs="Times New Roman"/>
          <w:sz w:val="20"/>
        </w:rPr>
        <w:t>165 clients of an Aesthetic clinic from September 2022 to November 2022 were randomly subjected to 20</w:t>
      </w:r>
      <w:r>
        <w:rPr>
          <w:rFonts w:ascii="Times New Roman" w:hAnsi="Times New Roman" w:cs="Times New Roman"/>
          <w:sz w:val="20"/>
        </w:rPr>
        <w:t xml:space="preserve"> </w:t>
      </w:r>
      <w:r w:rsidRPr="00543FA2">
        <w:rPr>
          <w:rFonts w:ascii="Times New Roman" w:hAnsi="Times New Roman" w:cs="Times New Roman"/>
          <w:sz w:val="20"/>
        </w:rPr>
        <w:t>MHz high frequency power Doppler imaging (</w:t>
      </w:r>
      <w:proofErr w:type="spellStart"/>
      <w:r w:rsidRPr="00543FA2">
        <w:rPr>
          <w:rFonts w:ascii="Times New Roman" w:hAnsi="Times New Roman" w:cs="Times New Roman"/>
          <w:sz w:val="20"/>
        </w:rPr>
        <w:t>clarius</w:t>
      </w:r>
      <w:proofErr w:type="spellEnd"/>
      <w:r w:rsidRPr="00543FA2">
        <w:rPr>
          <w:rFonts w:ascii="Times New Roman" w:hAnsi="Times New Roman" w:cs="Times New Roman"/>
          <w:sz w:val="20"/>
        </w:rPr>
        <w:t xml:space="preserve"> L20 HD3, Canada). First, ultrasound was performed transversely in the glabella area to determine the prevalence of central and </w:t>
      </w:r>
      <w:proofErr w:type="spellStart"/>
      <w:r w:rsidRPr="00543FA2">
        <w:rPr>
          <w:rFonts w:ascii="Times New Roman" w:hAnsi="Times New Roman" w:cs="Times New Roman"/>
          <w:sz w:val="20"/>
        </w:rPr>
        <w:t>paracentral</w:t>
      </w:r>
      <w:proofErr w:type="spellEnd"/>
      <w:r w:rsidRPr="00543FA2">
        <w:rPr>
          <w:rFonts w:ascii="Times New Roman" w:hAnsi="Times New Roman" w:cs="Times New Roman"/>
          <w:sz w:val="20"/>
        </w:rPr>
        <w:t xml:space="preserve"> arteries. In cases where the artery was within one centimeter of the midline of the glabella region, simultaneously with the placement of the probe transversely (Figure 2), the area above the Medial canthus was compressed with the index figure (Figure 3). </w:t>
      </w:r>
    </w:p>
    <w:p w:rsidR="005339CD" w:rsidRDefault="005339CD" w:rsidP="005339CD">
      <w:pPr>
        <w:jc w:val="center"/>
        <w:rPr>
          <w:rFonts w:ascii="Times New Roman" w:hAnsi="Times New Roman" w:cs="Times New Roman"/>
          <w:sz w:val="20"/>
        </w:rPr>
      </w:pPr>
      <w:r>
        <w:rPr>
          <w:rFonts w:ascii="Times New Roman" w:hAnsi="Times New Roman" w:cs="Times New Roman"/>
          <w:noProof/>
          <w:sz w:val="20"/>
        </w:rPr>
        <w:drawing>
          <wp:inline distT="0" distB="0" distL="0" distR="0">
            <wp:extent cx="3466540" cy="1121134"/>
            <wp:effectExtent l="0" t="0" r="635" b="3175"/>
            <wp:docPr id="12" name="Picture 12" descr="C:\Users\swetha-s\Downloads\SWETHA\April 2023\14-04-2023\Dermatology Medicine 2023\Fi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wetha-s\Downloads\SWETHA\April 2023\14-04-2023\Dermatology Medicine 2023\Fig 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66465" cy="1121110"/>
                    </a:xfrm>
                    <a:prstGeom prst="rect">
                      <a:avLst/>
                    </a:prstGeom>
                    <a:noFill/>
                    <a:ln>
                      <a:noFill/>
                    </a:ln>
                  </pic:spPr>
                </pic:pic>
              </a:graphicData>
            </a:graphic>
          </wp:inline>
        </w:drawing>
      </w:r>
    </w:p>
    <w:p w:rsidR="005339CD" w:rsidRPr="005339CD" w:rsidRDefault="005339CD" w:rsidP="005339CD">
      <w:pPr>
        <w:jc w:val="center"/>
        <w:rPr>
          <w:rFonts w:ascii="Times New Roman" w:hAnsi="Times New Roman" w:cs="Times New Roman"/>
          <w:i/>
          <w:sz w:val="18"/>
        </w:rPr>
      </w:pPr>
      <w:proofErr w:type="gramStart"/>
      <w:r w:rsidRPr="005339CD">
        <w:rPr>
          <w:rFonts w:ascii="Times New Roman" w:hAnsi="Times New Roman" w:cs="Times New Roman"/>
          <w:b/>
          <w:i/>
          <w:sz w:val="18"/>
        </w:rPr>
        <w:t>Figure 2.</w:t>
      </w:r>
      <w:proofErr w:type="gramEnd"/>
      <w:r w:rsidRPr="005339CD">
        <w:rPr>
          <w:rFonts w:ascii="Times New Roman" w:hAnsi="Times New Roman" w:cs="Times New Roman"/>
          <w:i/>
          <w:sz w:val="18"/>
        </w:rPr>
        <w:t xml:space="preserve"> </w:t>
      </w:r>
      <w:proofErr w:type="gramStart"/>
      <w:r w:rsidRPr="005339CD">
        <w:rPr>
          <w:rFonts w:ascii="Times New Roman" w:hAnsi="Times New Roman" w:cs="Times New Roman"/>
          <w:i/>
          <w:sz w:val="18"/>
        </w:rPr>
        <w:t>Transverse ultrasound in the line between the two eyebrows.</w:t>
      </w:r>
      <w:proofErr w:type="gramEnd"/>
      <w:r w:rsidRPr="005339CD">
        <w:rPr>
          <w:rFonts w:ascii="Times New Roman" w:hAnsi="Times New Roman" w:cs="Times New Roman"/>
          <w:i/>
          <w:sz w:val="18"/>
        </w:rPr>
        <w:t xml:space="preserve"> No compression on the upper area or medial the medial canthus.</w:t>
      </w:r>
    </w:p>
    <w:p w:rsidR="005339CD" w:rsidRDefault="005339CD" w:rsidP="005339CD">
      <w:pPr>
        <w:jc w:val="center"/>
        <w:rPr>
          <w:rFonts w:ascii="Times New Roman" w:hAnsi="Times New Roman" w:cs="Times New Roman"/>
          <w:sz w:val="20"/>
        </w:rPr>
      </w:pPr>
      <w:r>
        <w:rPr>
          <w:rFonts w:ascii="Times New Roman" w:hAnsi="Times New Roman" w:cs="Times New Roman"/>
          <w:noProof/>
          <w:sz w:val="20"/>
        </w:rPr>
        <w:drawing>
          <wp:inline distT="0" distB="0" distL="0" distR="0">
            <wp:extent cx="2440968" cy="1367625"/>
            <wp:effectExtent l="0" t="0" r="0" b="4445"/>
            <wp:docPr id="13" name="Picture 13" descr="C:\Users\swetha-s\Downloads\SWETHA\April 2023\14-04-2023\Dermatology Medicine 2023\Fig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wetha-s\Downloads\SWETHA\April 2023\14-04-2023\Dermatology Medicine 2023\Fig 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40940" cy="1367609"/>
                    </a:xfrm>
                    <a:prstGeom prst="rect">
                      <a:avLst/>
                    </a:prstGeom>
                    <a:noFill/>
                    <a:ln>
                      <a:noFill/>
                    </a:ln>
                  </pic:spPr>
                </pic:pic>
              </a:graphicData>
            </a:graphic>
          </wp:inline>
        </w:drawing>
      </w:r>
    </w:p>
    <w:p w:rsidR="005339CD" w:rsidRPr="005339CD" w:rsidRDefault="005339CD" w:rsidP="005339CD">
      <w:pPr>
        <w:jc w:val="center"/>
        <w:rPr>
          <w:rFonts w:ascii="Times New Roman" w:hAnsi="Times New Roman" w:cs="Times New Roman"/>
          <w:i/>
          <w:sz w:val="18"/>
        </w:rPr>
      </w:pPr>
      <w:proofErr w:type="gramStart"/>
      <w:r w:rsidRPr="005339CD">
        <w:rPr>
          <w:rFonts w:ascii="Times New Roman" w:hAnsi="Times New Roman" w:cs="Times New Roman"/>
          <w:b/>
          <w:i/>
          <w:sz w:val="18"/>
        </w:rPr>
        <w:t>Figure 3.</w:t>
      </w:r>
      <w:proofErr w:type="gramEnd"/>
      <w:r w:rsidRPr="005339CD">
        <w:rPr>
          <w:rFonts w:ascii="Times New Roman" w:hAnsi="Times New Roman" w:cs="Times New Roman"/>
          <w:i/>
          <w:sz w:val="18"/>
        </w:rPr>
        <w:t xml:space="preserve"> </w:t>
      </w:r>
      <w:proofErr w:type="gramStart"/>
      <w:r w:rsidRPr="005339CD">
        <w:rPr>
          <w:rFonts w:ascii="Times New Roman" w:hAnsi="Times New Roman" w:cs="Times New Roman"/>
          <w:i/>
          <w:sz w:val="18"/>
        </w:rPr>
        <w:t>Compressing region above the medial canthus.</w:t>
      </w:r>
      <w:proofErr w:type="gramEnd"/>
    </w:p>
    <w:p w:rsidR="00543FA2" w:rsidRDefault="00543FA2" w:rsidP="00543FA2">
      <w:pPr>
        <w:jc w:val="both"/>
        <w:rPr>
          <w:rFonts w:ascii="Times New Roman" w:hAnsi="Times New Roman" w:cs="Times New Roman"/>
          <w:sz w:val="20"/>
        </w:rPr>
      </w:pPr>
      <w:r w:rsidRPr="00543FA2">
        <w:rPr>
          <w:rFonts w:ascii="Times New Roman" w:hAnsi="Times New Roman" w:cs="Times New Roman"/>
          <w:sz w:val="20"/>
        </w:rPr>
        <w:lastRenderedPageBreak/>
        <w:t>If the blood flow was sti</w:t>
      </w:r>
      <w:r w:rsidR="005339CD">
        <w:rPr>
          <w:rFonts w:ascii="Times New Roman" w:hAnsi="Times New Roman" w:cs="Times New Roman"/>
          <w:sz w:val="20"/>
        </w:rPr>
        <w:t>ll visible in the power Doppler</w:t>
      </w:r>
      <w:r w:rsidRPr="00543FA2">
        <w:rPr>
          <w:rFonts w:ascii="Times New Roman" w:hAnsi="Times New Roman" w:cs="Times New Roman"/>
          <w:sz w:val="20"/>
        </w:rPr>
        <w:t xml:space="preserve"> like </w:t>
      </w:r>
      <w:r>
        <w:rPr>
          <w:rFonts w:ascii="Times New Roman" w:hAnsi="Times New Roman" w:cs="Times New Roman"/>
          <w:sz w:val="20"/>
        </w:rPr>
        <w:t>(</w:t>
      </w:r>
      <w:r w:rsidRPr="00543FA2">
        <w:rPr>
          <w:rFonts w:ascii="Times New Roman" w:hAnsi="Times New Roman" w:cs="Times New Roman"/>
          <w:sz w:val="20"/>
        </w:rPr>
        <w:t>Figure 4</w:t>
      </w:r>
      <w:r>
        <w:rPr>
          <w:rFonts w:ascii="Times New Roman" w:hAnsi="Times New Roman" w:cs="Times New Roman"/>
          <w:sz w:val="20"/>
        </w:rPr>
        <w:t>)</w:t>
      </w:r>
      <w:r w:rsidRPr="00543FA2">
        <w:rPr>
          <w:rFonts w:ascii="Times New Roman" w:hAnsi="Times New Roman" w:cs="Times New Roman"/>
          <w:sz w:val="20"/>
        </w:rPr>
        <w:t>, the medial area was pressed to the inner canthus with another finger and the blood flow was checked in the power Doppler (Figure 5).</w:t>
      </w:r>
    </w:p>
    <w:p w:rsidR="005339CD" w:rsidRDefault="005339CD" w:rsidP="005339CD">
      <w:pPr>
        <w:jc w:val="center"/>
        <w:rPr>
          <w:rFonts w:ascii="Times New Roman" w:hAnsi="Times New Roman" w:cs="Times New Roman"/>
          <w:sz w:val="20"/>
        </w:rPr>
      </w:pPr>
      <w:r>
        <w:rPr>
          <w:rFonts w:ascii="Times New Roman" w:hAnsi="Times New Roman" w:cs="Times New Roman"/>
          <w:noProof/>
          <w:sz w:val="20"/>
        </w:rPr>
        <w:drawing>
          <wp:inline distT="0" distB="0" distL="0" distR="0">
            <wp:extent cx="2941955" cy="1089025"/>
            <wp:effectExtent l="0" t="0" r="0" b="0"/>
            <wp:docPr id="14" name="Picture 14" descr="C:\Users\swetha-s\Downloads\SWETHA\April 2023\14-04-2023\Dermatology Medicine 2023\Fig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wetha-s\Downloads\SWETHA\April 2023\14-04-2023\Dermatology Medicine 2023\Fig 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1955" cy="1089025"/>
                    </a:xfrm>
                    <a:prstGeom prst="rect">
                      <a:avLst/>
                    </a:prstGeom>
                    <a:noFill/>
                    <a:ln>
                      <a:noFill/>
                    </a:ln>
                  </pic:spPr>
                </pic:pic>
              </a:graphicData>
            </a:graphic>
          </wp:inline>
        </w:drawing>
      </w:r>
    </w:p>
    <w:p w:rsidR="005339CD" w:rsidRPr="005339CD" w:rsidRDefault="005339CD" w:rsidP="005339CD">
      <w:pPr>
        <w:jc w:val="center"/>
        <w:rPr>
          <w:rFonts w:ascii="Times New Roman" w:hAnsi="Times New Roman" w:cs="Times New Roman"/>
          <w:i/>
          <w:sz w:val="18"/>
        </w:rPr>
      </w:pPr>
      <w:proofErr w:type="gramStart"/>
      <w:r w:rsidRPr="005339CD">
        <w:rPr>
          <w:rFonts w:ascii="Times New Roman" w:hAnsi="Times New Roman" w:cs="Times New Roman"/>
          <w:b/>
          <w:i/>
          <w:sz w:val="18"/>
        </w:rPr>
        <w:t>Figure 4.</w:t>
      </w:r>
      <w:proofErr w:type="gramEnd"/>
      <w:r w:rsidRPr="005339CD">
        <w:rPr>
          <w:rFonts w:ascii="Times New Roman" w:hAnsi="Times New Roman" w:cs="Times New Roman"/>
          <w:i/>
          <w:sz w:val="18"/>
        </w:rPr>
        <w:t xml:space="preserve"> </w:t>
      </w:r>
      <w:proofErr w:type="gramStart"/>
      <w:r w:rsidRPr="005339CD">
        <w:rPr>
          <w:rFonts w:ascii="Times New Roman" w:hAnsi="Times New Roman" w:cs="Times New Roman"/>
          <w:i/>
          <w:sz w:val="18"/>
        </w:rPr>
        <w:t>Transverse ultrasound on the line between the two eyebrows simultaneously with compression on the area above the medial canthus.</w:t>
      </w:r>
      <w:proofErr w:type="gramEnd"/>
      <w:r w:rsidRPr="005339CD">
        <w:rPr>
          <w:rFonts w:ascii="Times New Roman" w:hAnsi="Times New Roman" w:cs="Times New Roman"/>
          <w:i/>
          <w:sz w:val="18"/>
        </w:rPr>
        <w:t xml:space="preserve"> Blood flow is observed.</w:t>
      </w:r>
    </w:p>
    <w:p w:rsidR="005339CD" w:rsidRDefault="005339CD" w:rsidP="005339CD">
      <w:pPr>
        <w:jc w:val="center"/>
        <w:rPr>
          <w:rFonts w:ascii="Times New Roman" w:hAnsi="Times New Roman" w:cs="Times New Roman"/>
          <w:sz w:val="20"/>
        </w:rPr>
      </w:pPr>
      <w:r>
        <w:rPr>
          <w:rFonts w:ascii="Times New Roman" w:hAnsi="Times New Roman" w:cs="Times New Roman"/>
          <w:noProof/>
          <w:sz w:val="20"/>
        </w:rPr>
        <w:drawing>
          <wp:inline distT="0" distB="0" distL="0" distR="0">
            <wp:extent cx="2806700" cy="1113155"/>
            <wp:effectExtent l="0" t="0" r="0" b="0"/>
            <wp:docPr id="15" name="Picture 15" descr="C:\Users\swetha-s\Downloads\SWETHA\April 2023\14-04-2023\Dermatology Medicine 2023\Fig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wetha-s\Downloads\SWETHA\April 2023\14-04-2023\Dermatology Medicine 2023\Fig 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6700" cy="1113155"/>
                    </a:xfrm>
                    <a:prstGeom prst="rect">
                      <a:avLst/>
                    </a:prstGeom>
                    <a:noFill/>
                    <a:ln>
                      <a:noFill/>
                    </a:ln>
                  </pic:spPr>
                </pic:pic>
              </a:graphicData>
            </a:graphic>
          </wp:inline>
        </w:drawing>
      </w:r>
      <w:r>
        <w:rPr>
          <w:rFonts w:ascii="Times New Roman" w:hAnsi="Times New Roman" w:cs="Times New Roman"/>
          <w:sz w:val="20"/>
        </w:rPr>
        <w:t xml:space="preserve"> </w:t>
      </w:r>
    </w:p>
    <w:p w:rsidR="005339CD" w:rsidRPr="005339CD" w:rsidRDefault="005339CD" w:rsidP="005339CD">
      <w:pPr>
        <w:jc w:val="center"/>
        <w:rPr>
          <w:rFonts w:ascii="Times New Roman" w:hAnsi="Times New Roman" w:cs="Times New Roman"/>
          <w:i/>
          <w:sz w:val="18"/>
        </w:rPr>
      </w:pPr>
      <w:proofErr w:type="gramStart"/>
      <w:r w:rsidRPr="005339CD">
        <w:rPr>
          <w:rFonts w:ascii="Times New Roman" w:hAnsi="Times New Roman" w:cs="Times New Roman"/>
          <w:b/>
          <w:i/>
          <w:sz w:val="18"/>
        </w:rPr>
        <w:t>Figure 5.</w:t>
      </w:r>
      <w:proofErr w:type="gramEnd"/>
      <w:r w:rsidRPr="005339CD">
        <w:rPr>
          <w:rFonts w:ascii="Times New Roman" w:hAnsi="Times New Roman" w:cs="Times New Roman"/>
          <w:i/>
          <w:sz w:val="18"/>
        </w:rPr>
        <w:t xml:space="preserve"> </w:t>
      </w:r>
      <w:proofErr w:type="gramStart"/>
      <w:r w:rsidRPr="005339CD">
        <w:rPr>
          <w:rFonts w:ascii="Times New Roman" w:hAnsi="Times New Roman" w:cs="Times New Roman"/>
          <w:i/>
          <w:sz w:val="18"/>
        </w:rPr>
        <w:t>Transverse ultrasound on the line between the two eyebrows simultaneously with compression on the area above and inner the medial canthus.</w:t>
      </w:r>
      <w:proofErr w:type="gramEnd"/>
      <w:r w:rsidRPr="005339CD">
        <w:rPr>
          <w:rFonts w:ascii="Times New Roman" w:hAnsi="Times New Roman" w:cs="Times New Roman"/>
          <w:i/>
          <w:sz w:val="18"/>
        </w:rPr>
        <w:t xml:space="preserve"> Blood flow is not observed.</w:t>
      </w:r>
    </w:p>
    <w:p w:rsidR="00474203" w:rsidRPr="00543FA2" w:rsidRDefault="00543FA2" w:rsidP="00543FA2">
      <w:pPr>
        <w:jc w:val="both"/>
        <w:rPr>
          <w:rFonts w:ascii="Times New Roman" w:hAnsi="Times New Roman" w:cs="Times New Roman"/>
          <w:sz w:val="20"/>
        </w:rPr>
      </w:pPr>
      <w:r w:rsidRPr="00543FA2">
        <w:rPr>
          <w:rFonts w:ascii="Times New Roman" w:hAnsi="Times New Roman" w:cs="Times New Roman"/>
          <w:sz w:val="20"/>
        </w:rPr>
        <w:t>The purpose of doing this study was to determine whether it is sufficient to compress the area above the medial canthus alone, or whether the area medial to the medial canthus should also be compressed.</w:t>
      </w:r>
      <w:r>
        <w:rPr>
          <w:rFonts w:ascii="Times New Roman" w:hAnsi="Times New Roman" w:cs="Times New Roman"/>
          <w:sz w:val="20"/>
        </w:rPr>
        <w:t xml:space="preserve"> </w:t>
      </w:r>
      <w:r w:rsidRPr="00543FA2">
        <w:rPr>
          <w:rFonts w:ascii="Times New Roman" w:hAnsi="Times New Roman" w:cs="Times New Roman"/>
          <w:sz w:val="20"/>
        </w:rPr>
        <w:t xml:space="preserve">In 48 cases (29%) of 165 cases, the artery was located within 1 cm of the midline of the glabella region. One artery was observed in 23 cases (13.9%), two arteries in 15 cases (9%), three arteries in 7 cases (4.2%) and four arteries in 3 cases (1.8%). In all the cases where the artery was within 1 cm of the midline, only in 60% of the cases, by compressing the upper part of the internal </w:t>
      </w:r>
      <w:proofErr w:type="spellStart"/>
      <w:r w:rsidRPr="00543FA2">
        <w:rPr>
          <w:rFonts w:ascii="Times New Roman" w:hAnsi="Times New Roman" w:cs="Times New Roman"/>
          <w:sz w:val="20"/>
        </w:rPr>
        <w:t>canthus</w:t>
      </w:r>
      <w:proofErr w:type="spellEnd"/>
      <w:r w:rsidRPr="00543FA2">
        <w:rPr>
          <w:rFonts w:ascii="Times New Roman" w:hAnsi="Times New Roman" w:cs="Times New Roman"/>
          <w:sz w:val="20"/>
        </w:rPr>
        <w:t>, the blood flow of the glabella regi</w:t>
      </w:r>
      <w:r>
        <w:rPr>
          <w:rFonts w:ascii="Times New Roman" w:hAnsi="Times New Roman" w:cs="Times New Roman"/>
          <w:sz w:val="20"/>
        </w:rPr>
        <w:t>on was stopped in Power Doppler a</w:t>
      </w:r>
      <w:r w:rsidRPr="00543FA2">
        <w:rPr>
          <w:rFonts w:ascii="Times New Roman" w:hAnsi="Times New Roman" w:cs="Times New Roman"/>
          <w:sz w:val="20"/>
        </w:rPr>
        <w:t xml:space="preserve">nd in all cases, by compressing the upper part and inside the medial </w:t>
      </w:r>
      <w:proofErr w:type="spellStart"/>
      <w:r w:rsidRPr="00543FA2">
        <w:rPr>
          <w:rFonts w:ascii="Times New Roman" w:hAnsi="Times New Roman" w:cs="Times New Roman"/>
          <w:sz w:val="20"/>
        </w:rPr>
        <w:t>canthus</w:t>
      </w:r>
      <w:proofErr w:type="spellEnd"/>
      <w:r w:rsidRPr="00543FA2">
        <w:rPr>
          <w:rFonts w:ascii="Times New Roman" w:hAnsi="Times New Roman" w:cs="Times New Roman"/>
          <w:sz w:val="20"/>
        </w:rPr>
        <w:t>, blood flow was not observed in the glabella region.</w:t>
      </w:r>
      <w:r>
        <w:rPr>
          <w:rFonts w:ascii="Times New Roman" w:hAnsi="Times New Roman" w:cs="Times New Roman"/>
          <w:sz w:val="20"/>
        </w:rPr>
        <w:t xml:space="preserve"> </w:t>
      </w:r>
      <w:r w:rsidRPr="00543FA2">
        <w:rPr>
          <w:rFonts w:ascii="Times New Roman" w:hAnsi="Times New Roman" w:cs="Times New Roman"/>
          <w:sz w:val="20"/>
        </w:rPr>
        <w:t>The results of these observations suggest that the compression of the upper part of the medial canthus alone is not enough to avoid retrograde embolism</w:t>
      </w:r>
      <w:r w:rsidR="005339CD">
        <w:rPr>
          <w:rFonts w:ascii="Times New Roman" w:hAnsi="Times New Roman" w:cs="Times New Roman"/>
          <w:sz w:val="20"/>
        </w:rPr>
        <w:t xml:space="preserve"> and</w:t>
      </w:r>
      <w:r w:rsidRPr="00543FA2">
        <w:rPr>
          <w:rFonts w:ascii="Times New Roman" w:hAnsi="Times New Roman" w:cs="Times New Roman"/>
          <w:sz w:val="20"/>
        </w:rPr>
        <w:t xml:space="preserve"> it is better to also compress the inner part of the medial canthus during filler injection in the glabella region.</w:t>
      </w:r>
    </w:p>
    <w:p w:rsidR="00543FA2" w:rsidRPr="00543FA2" w:rsidRDefault="00543FA2" w:rsidP="00543FA2">
      <w:pPr>
        <w:rPr>
          <w:rFonts w:ascii="Times New Roman" w:hAnsi="Times New Roman" w:cs="Times New Roman"/>
          <w:b/>
          <w:sz w:val="24"/>
        </w:rPr>
      </w:pPr>
      <w:r w:rsidRPr="00543FA2">
        <w:rPr>
          <w:rFonts w:ascii="Times New Roman" w:hAnsi="Times New Roman" w:cs="Times New Roman"/>
          <w:b/>
          <w:sz w:val="24"/>
        </w:rPr>
        <w:t>Biography</w:t>
      </w:r>
    </w:p>
    <w:p w:rsidR="00543FA2" w:rsidRPr="00543FA2" w:rsidRDefault="00543FA2" w:rsidP="00543FA2">
      <w:pPr>
        <w:jc w:val="both"/>
        <w:rPr>
          <w:rFonts w:ascii="Times New Roman" w:hAnsi="Times New Roman" w:cs="Times New Roman"/>
          <w:sz w:val="20"/>
        </w:rPr>
      </w:pPr>
      <w:r w:rsidRPr="00543FA2">
        <w:rPr>
          <w:rFonts w:ascii="Times New Roman" w:hAnsi="Times New Roman" w:cs="Times New Roman"/>
          <w:sz w:val="20"/>
        </w:rPr>
        <w:t xml:space="preserve">Ahmad </w:t>
      </w:r>
      <w:proofErr w:type="spellStart"/>
      <w:r w:rsidRPr="00543FA2">
        <w:rPr>
          <w:rFonts w:ascii="Times New Roman" w:hAnsi="Times New Roman" w:cs="Times New Roman"/>
          <w:sz w:val="20"/>
        </w:rPr>
        <w:t>Nazari</w:t>
      </w:r>
      <w:proofErr w:type="spellEnd"/>
      <w:r w:rsidRPr="00543FA2">
        <w:rPr>
          <w:rFonts w:ascii="Times New Roman" w:hAnsi="Times New Roman" w:cs="Times New Roman"/>
          <w:sz w:val="20"/>
        </w:rPr>
        <w:t xml:space="preserve"> is an Assistant Professor of Sports Medicine School of Medicine Iran University of Medical Sciences, Iran. He is an Aesthetic Trainer for more tha</w:t>
      </w:r>
      <w:r>
        <w:rPr>
          <w:rFonts w:ascii="Times New Roman" w:hAnsi="Times New Roman" w:cs="Times New Roman"/>
          <w:sz w:val="20"/>
        </w:rPr>
        <w:t>n 1000 medical Doctors at CROMA-</w:t>
      </w:r>
      <w:r w:rsidRPr="00543FA2">
        <w:rPr>
          <w:rFonts w:ascii="Times New Roman" w:hAnsi="Times New Roman" w:cs="Times New Roman"/>
          <w:sz w:val="20"/>
        </w:rPr>
        <w:t xml:space="preserve">Austria </w:t>
      </w:r>
      <w:r>
        <w:rPr>
          <w:rFonts w:ascii="Times New Roman" w:hAnsi="Times New Roman" w:cs="Times New Roman"/>
          <w:sz w:val="20"/>
        </w:rPr>
        <w:t>from 2022 to until now, CLARIUS</w:t>
      </w:r>
      <w:r w:rsidRPr="00543FA2">
        <w:rPr>
          <w:rFonts w:ascii="Times New Roman" w:hAnsi="Times New Roman" w:cs="Times New Roman"/>
          <w:sz w:val="20"/>
        </w:rPr>
        <w:t>-Canada from 2022 to until now and TUMS Aest</w:t>
      </w:r>
      <w:r>
        <w:rPr>
          <w:rFonts w:ascii="Times New Roman" w:hAnsi="Times New Roman" w:cs="Times New Roman"/>
          <w:sz w:val="20"/>
        </w:rPr>
        <w:t>hetic course training from 2019–</w:t>
      </w:r>
      <w:r w:rsidRPr="00543FA2">
        <w:rPr>
          <w:rFonts w:ascii="Times New Roman" w:hAnsi="Times New Roman" w:cs="Times New Roman"/>
          <w:sz w:val="20"/>
        </w:rPr>
        <w:t>2022. He is a</w:t>
      </w:r>
      <w:r>
        <w:rPr>
          <w:rFonts w:ascii="Times New Roman" w:hAnsi="Times New Roman" w:cs="Times New Roman"/>
          <w:sz w:val="20"/>
        </w:rPr>
        <w:t xml:space="preserve">n Ultrasound Trainer at </w:t>
      </w:r>
      <w:proofErr w:type="spellStart"/>
      <w:r>
        <w:rPr>
          <w:rFonts w:ascii="Times New Roman" w:hAnsi="Times New Roman" w:cs="Times New Roman"/>
          <w:sz w:val="20"/>
        </w:rPr>
        <w:t>Clarius</w:t>
      </w:r>
      <w:proofErr w:type="spellEnd"/>
      <w:r>
        <w:rPr>
          <w:rFonts w:ascii="Times New Roman" w:hAnsi="Times New Roman" w:cs="Times New Roman"/>
          <w:sz w:val="20"/>
        </w:rPr>
        <w:t>-Canada/</w:t>
      </w:r>
      <w:r w:rsidRPr="00543FA2">
        <w:rPr>
          <w:rFonts w:ascii="Times New Roman" w:hAnsi="Times New Roman" w:cs="Times New Roman"/>
          <w:sz w:val="20"/>
        </w:rPr>
        <w:t xml:space="preserve">Iran. He has experience in neuroimaging at fMRI and </w:t>
      </w:r>
      <w:proofErr w:type="spellStart"/>
      <w:r w:rsidRPr="00543FA2">
        <w:rPr>
          <w:rFonts w:ascii="Times New Roman" w:hAnsi="Times New Roman" w:cs="Times New Roman"/>
          <w:sz w:val="20"/>
        </w:rPr>
        <w:t>Neurotract</w:t>
      </w:r>
      <w:proofErr w:type="spellEnd"/>
      <w:r w:rsidRPr="00543FA2">
        <w:rPr>
          <w:rFonts w:ascii="Times New Roman" w:hAnsi="Times New Roman" w:cs="Times New Roman"/>
          <w:sz w:val="20"/>
        </w:rPr>
        <w:t xml:space="preserve">, Iran. He has 6 years’ experience in Aesthetic </w:t>
      </w:r>
      <w:r w:rsidRPr="00543FA2">
        <w:rPr>
          <w:rFonts w:ascii="Times New Roman" w:hAnsi="Times New Roman" w:cs="Times New Roman"/>
          <w:sz w:val="20"/>
        </w:rPr>
        <w:t>Clinics</w:t>
      </w:r>
      <w:r w:rsidRPr="00543FA2">
        <w:rPr>
          <w:rFonts w:ascii="Times New Roman" w:hAnsi="Times New Roman" w:cs="Times New Roman"/>
          <w:sz w:val="20"/>
        </w:rPr>
        <w:t>, Iran. He has given more than 10 Seminar as Speaker. He has published more than 30 Articles and few are under review. He is writing a chapter in a book in Maxillofacial for Springer.</w:t>
      </w:r>
      <w:bookmarkEnd w:id="0"/>
    </w:p>
    <w:sectPr w:rsidR="00543FA2" w:rsidRPr="00543F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FA2"/>
    <w:rsid w:val="0032354D"/>
    <w:rsid w:val="00474203"/>
    <w:rsid w:val="005339CD"/>
    <w:rsid w:val="00535872"/>
    <w:rsid w:val="00543FA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3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3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2023-04-14T11:28:00Z</dcterms:created>
  <dcterms:modified xsi:type="dcterms:W3CDTF">2023-04-14T12:54:00Z</dcterms:modified>
</cp:coreProperties>
</file>