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662B74">
      <w:pPr>
        <w:rPr>
          <w:rFonts w:ascii="Times New Roman" w:hAnsi="Times New Roman" w:cs="Times New Roman"/>
          <w:b/>
          <w:sz w:val="32"/>
        </w:rPr>
      </w:pPr>
      <w:r w:rsidRPr="00662B74">
        <w:rPr>
          <w:rFonts w:ascii="Times New Roman" w:hAnsi="Times New Roman" w:cs="Times New Roman"/>
          <w:b/>
          <w:sz w:val="32"/>
        </w:rPr>
        <w:t>Comparison of intravenous dexamethasone and intravenous acetaminophen (</w:t>
      </w:r>
      <w:proofErr w:type="spellStart"/>
      <w:r w:rsidRPr="00662B74">
        <w:rPr>
          <w:rFonts w:ascii="Times New Roman" w:hAnsi="Times New Roman" w:cs="Times New Roman"/>
          <w:b/>
          <w:sz w:val="32"/>
        </w:rPr>
        <w:t>Apotel</w:t>
      </w:r>
      <w:proofErr w:type="spellEnd"/>
      <w:r w:rsidRPr="00662B74">
        <w:rPr>
          <w:rFonts w:ascii="Times New Roman" w:hAnsi="Times New Roman" w:cs="Times New Roman"/>
          <w:b/>
          <w:sz w:val="32"/>
        </w:rPr>
        <w:t>) on postoperative pain and agitation of children undergoing general anesthesia for dental rehabilitation: A double-blinded clinical trial</w:t>
      </w:r>
    </w:p>
    <w:p w:rsidR="00662B74" w:rsidRDefault="00662B74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Saeedeh</w:t>
      </w:r>
      <w:proofErr w:type="spellEnd"/>
      <w:r>
        <w:rPr>
          <w:rFonts w:ascii="Times New Roman" w:hAnsi="Times New Roman" w:cs="Times New Roman"/>
          <w:sz w:val="24"/>
        </w:rPr>
        <w:t xml:space="preserve"> Mokhtari</w:t>
      </w:r>
      <w:r w:rsidRPr="00662B74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* and</w:t>
      </w:r>
      <w:r w:rsidRPr="00662B74">
        <w:rPr>
          <w:rFonts w:ascii="Times New Roman" w:hAnsi="Times New Roman" w:cs="Times New Roman"/>
          <w:sz w:val="24"/>
        </w:rPr>
        <w:t xml:space="preserve"> Maryam Khosrozadeh</w:t>
      </w:r>
      <w:r w:rsidRPr="00662B74">
        <w:rPr>
          <w:rFonts w:ascii="Times New Roman" w:hAnsi="Times New Roman" w:cs="Times New Roman"/>
          <w:sz w:val="24"/>
          <w:vertAlign w:val="superscript"/>
        </w:rPr>
        <w:t>2</w:t>
      </w:r>
    </w:p>
    <w:p w:rsidR="00662B74" w:rsidRPr="00662B74" w:rsidRDefault="00662B74" w:rsidP="00662B74">
      <w:pPr>
        <w:spacing w:after="0"/>
        <w:rPr>
          <w:rFonts w:ascii="Times New Roman" w:hAnsi="Times New Roman" w:cs="Times New Roman"/>
        </w:rPr>
      </w:pPr>
      <w:r w:rsidRPr="00662B74">
        <w:rPr>
          <w:rFonts w:ascii="Times New Roman" w:hAnsi="Times New Roman" w:cs="Times New Roman"/>
          <w:vertAlign w:val="superscript"/>
        </w:rPr>
        <w:t>1</w:t>
      </w:r>
      <w:r w:rsidRPr="00662B74">
        <w:rPr>
          <w:rFonts w:ascii="Times New Roman" w:hAnsi="Times New Roman" w:cs="Times New Roman"/>
        </w:rPr>
        <w:t>Tehran University of Medical Sciences, Iran</w:t>
      </w:r>
    </w:p>
    <w:p w:rsidR="00662B74" w:rsidRPr="00662B74" w:rsidRDefault="00662B74">
      <w:pPr>
        <w:rPr>
          <w:rFonts w:ascii="Times New Roman" w:hAnsi="Times New Roman" w:cs="Times New Roman"/>
        </w:rPr>
      </w:pPr>
      <w:r w:rsidRPr="00662B74">
        <w:rPr>
          <w:rFonts w:ascii="Times New Roman" w:hAnsi="Times New Roman" w:cs="Times New Roman"/>
          <w:vertAlign w:val="superscript"/>
        </w:rPr>
        <w:t>2</w:t>
      </w:r>
      <w:r w:rsidRPr="00662B74">
        <w:rPr>
          <w:rFonts w:ascii="Times New Roman" w:hAnsi="Times New Roman" w:cs="Times New Roman"/>
        </w:rPr>
        <w:t>Urumia University of Medical Sciences, Iran</w:t>
      </w:r>
    </w:p>
    <w:p w:rsidR="00662B74" w:rsidRPr="00662B74" w:rsidRDefault="00662B74" w:rsidP="00662B74">
      <w:pPr>
        <w:jc w:val="center"/>
        <w:rPr>
          <w:rFonts w:ascii="Times New Roman" w:hAnsi="Times New Roman" w:cs="Times New Roman"/>
          <w:b/>
          <w:sz w:val="24"/>
        </w:rPr>
      </w:pPr>
      <w:r w:rsidRPr="00662B74">
        <w:rPr>
          <w:rFonts w:ascii="Times New Roman" w:hAnsi="Times New Roman" w:cs="Times New Roman"/>
          <w:b/>
          <w:sz w:val="24"/>
        </w:rPr>
        <w:t>Abstract</w:t>
      </w:r>
    </w:p>
    <w:p w:rsidR="00662B74" w:rsidRPr="00662B74" w:rsidRDefault="00662B74" w:rsidP="00662B74">
      <w:pPr>
        <w:jc w:val="both"/>
        <w:rPr>
          <w:rFonts w:ascii="Times New Roman" w:hAnsi="Times New Roman" w:cs="Times New Roman"/>
          <w:sz w:val="20"/>
        </w:rPr>
      </w:pPr>
      <w:r w:rsidRPr="00662B74">
        <w:rPr>
          <w:rFonts w:ascii="Times New Roman" w:hAnsi="Times New Roman" w:cs="Times New Roman"/>
          <w:b/>
          <w:sz w:val="20"/>
        </w:rPr>
        <w:t>Objectives:</w:t>
      </w:r>
      <w:r w:rsidRPr="00662B74">
        <w:rPr>
          <w:rFonts w:ascii="Times New Roman" w:hAnsi="Times New Roman" w:cs="Times New Roman"/>
          <w:sz w:val="20"/>
        </w:rPr>
        <w:t xml:space="preserve"> To compare the effect of intravenous dexamethasone and intravenous acetaminophen (</w:t>
      </w:r>
      <w:proofErr w:type="spellStart"/>
      <w:r w:rsidRPr="00662B74">
        <w:rPr>
          <w:rFonts w:ascii="Times New Roman" w:hAnsi="Times New Roman" w:cs="Times New Roman"/>
          <w:sz w:val="20"/>
        </w:rPr>
        <w:t>Apotel</w:t>
      </w:r>
      <w:proofErr w:type="spellEnd"/>
      <w:r w:rsidRPr="00662B74">
        <w:rPr>
          <w:rFonts w:ascii="Times New Roman" w:hAnsi="Times New Roman" w:cs="Times New Roman"/>
          <w:sz w:val="20"/>
        </w:rPr>
        <w:t>) on oral pain, agitation, sore throat, nausea/vomiting and recovery time after dental rehabilitation under general anesthesia in children.</w:t>
      </w:r>
    </w:p>
    <w:p w:rsidR="00662B74" w:rsidRPr="00662B74" w:rsidRDefault="00662B74" w:rsidP="00662B74">
      <w:pPr>
        <w:jc w:val="both"/>
        <w:rPr>
          <w:rFonts w:ascii="Times New Roman" w:hAnsi="Times New Roman" w:cs="Times New Roman"/>
          <w:sz w:val="20"/>
        </w:rPr>
      </w:pPr>
      <w:r w:rsidRPr="00662B74">
        <w:rPr>
          <w:rFonts w:ascii="Times New Roman" w:hAnsi="Times New Roman" w:cs="Times New Roman"/>
          <w:b/>
          <w:sz w:val="20"/>
        </w:rPr>
        <w:t xml:space="preserve">Materials and </w:t>
      </w:r>
      <w:r w:rsidRPr="00662B74">
        <w:rPr>
          <w:rFonts w:ascii="Times New Roman" w:hAnsi="Times New Roman" w:cs="Times New Roman"/>
          <w:b/>
          <w:sz w:val="20"/>
        </w:rPr>
        <w:t>methods</w:t>
      </w:r>
      <w:r w:rsidRPr="00662B74">
        <w:rPr>
          <w:rFonts w:ascii="Times New Roman" w:hAnsi="Times New Roman" w:cs="Times New Roman"/>
          <w:b/>
          <w:sz w:val="20"/>
        </w:rPr>
        <w:t>:</w:t>
      </w:r>
      <w:r w:rsidRPr="00662B74">
        <w:rPr>
          <w:rFonts w:ascii="Times New Roman" w:hAnsi="Times New Roman" w:cs="Times New Roman"/>
          <w:sz w:val="20"/>
        </w:rPr>
        <w:t xml:space="preserve"> A total of 60 ASA I, II children in need of dental treatment under general anesthesia in the age range of 2-6 years were included in this prospective double-blinded clinical trial study. All children received 0.5 mg</w:t>
      </w:r>
      <w:r>
        <w:rPr>
          <w:rFonts w:ascii="Times New Roman" w:hAnsi="Times New Roman" w:cs="Times New Roman"/>
          <w:sz w:val="20"/>
        </w:rPr>
        <w:t>/</w:t>
      </w:r>
      <w:r w:rsidRPr="00662B74">
        <w:rPr>
          <w:rFonts w:ascii="Times New Roman" w:hAnsi="Times New Roman" w:cs="Times New Roman"/>
          <w:sz w:val="20"/>
        </w:rPr>
        <w:t xml:space="preserve">kg oral midazolam 15 minutes before the intervention. Standard anesthesia techniques including inhalation induction with </w:t>
      </w:r>
      <w:proofErr w:type="spellStart"/>
      <w:r w:rsidRPr="00662B74">
        <w:rPr>
          <w:rFonts w:ascii="Times New Roman" w:hAnsi="Times New Roman" w:cs="Times New Roman"/>
          <w:sz w:val="20"/>
        </w:rPr>
        <w:t>sevoflurane</w:t>
      </w:r>
      <w:proofErr w:type="spellEnd"/>
      <w:r w:rsidRPr="00662B74">
        <w:rPr>
          <w:rFonts w:ascii="Times New Roman" w:hAnsi="Times New Roman" w:cs="Times New Roman"/>
          <w:sz w:val="20"/>
        </w:rPr>
        <w:t xml:space="preserve">, followed by venipuncture and intravenous </w:t>
      </w:r>
      <w:r>
        <w:rPr>
          <w:rFonts w:ascii="Times New Roman" w:hAnsi="Times New Roman" w:cs="Times New Roman"/>
          <w:sz w:val="20"/>
        </w:rPr>
        <w:t xml:space="preserve">fentanyl l µg/kg and </w:t>
      </w:r>
      <w:proofErr w:type="spellStart"/>
      <w:r>
        <w:rPr>
          <w:rFonts w:ascii="Times New Roman" w:hAnsi="Times New Roman" w:cs="Times New Roman"/>
          <w:sz w:val="20"/>
        </w:rPr>
        <w:t>atracurium</w:t>
      </w:r>
      <w:proofErr w:type="spellEnd"/>
      <w:r>
        <w:rPr>
          <w:rFonts w:ascii="Times New Roman" w:hAnsi="Times New Roman" w:cs="Times New Roman"/>
          <w:sz w:val="20"/>
        </w:rPr>
        <w:t xml:space="preserve"> 0.5 mg/</w:t>
      </w:r>
      <w:r w:rsidRPr="00662B74">
        <w:rPr>
          <w:rFonts w:ascii="Times New Roman" w:hAnsi="Times New Roman" w:cs="Times New Roman"/>
          <w:sz w:val="20"/>
        </w:rPr>
        <w:t xml:space="preserve">kg were used. Patients were randomly divided into two groups. After induction of anesthesia, </w:t>
      </w:r>
      <w:r>
        <w:rPr>
          <w:rFonts w:ascii="Times New Roman" w:hAnsi="Times New Roman" w:cs="Times New Roman"/>
          <w:sz w:val="20"/>
        </w:rPr>
        <w:t>the first group received 0.5 mg/</w:t>
      </w:r>
      <w:r w:rsidRPr="00662B74">
        <w:rPr>
          <w:rFonts w:ascii="Times New Roman" w:hAnsi="Times New Roman" w:cs="Times New Roman"/>
          <w:sz w:val="20"/>
        </w:rPr>
        <w:t xml:space="preserve">kg intravenous dexamethasone and </w:t>
      </w:r>
      <w:r>
        <w:rPr>
          <w:rFonts w:ascii="Times New Roman" w:hAnsi="Times New Roman" w:cs="Times New Roman"/>
          <w:sz w:val="20"/>
        </w:rPr>
        <w:t>the second group received 15 mg/</w:t>
      </w:r>
      <w:r w:rsidRPr="00662B74">
        <w:rPr>
          <w:rFonts w:ascii="Times New Roman" w:hAnsi="Times New Roman" w:cs="Times New Roman"/>
          <w:sz w:val="20"/>
        </w:rPr>
        <w:t>kg intravenous acetaminophen.</w:t>
      </w:r>
    </w:p>
    <w:p w:rsidR="00662B74" w:rsidRPr="00662B74" w:rsidRDefault="00662B74" w:rsidP="00662B74">
      <w:pPr>
        <w:jc w:val="both"/>
        <w:rPr>
          <w:rFonts w:ascii="Times New Roman" w:hAnsi="Times New Roman" w:cs="Times New Roman"/>
          <w:sz w:val="20"/>
        </w:rPr>
      </w:pPr>
      <w:r w:rsidRPr="00662B74">
        <w:rPr>
          <w:rFonts w:ascii="Times New Roman" w:hAnsi="Times New Roman" w:cs="Times New Roman"/>
          <w:b/>
          <w:sz w:val="20"/>
        </w:rPr>
        <w:t>Results:</w:t>
      </w:r>
      <w:r w:rsidRPr="00662B74">
        <w:rPr>
          <w:rFonts w:ascii="Times New Roman" w:hAnsi="Times New Roman" w:cs="Times New Roman"/>
          <w:sz w:val="20"/>
        </w:rPr>
        <w:t xml:space="preserve"> The median recovery time in the </w:t>
      </w:r>
      <w:proofErr w:type="spellStart"/>
      <w:r w:rsidRPr="00662B74">
        <w:rPr>
          <w:rFonts w:ascii="Times New Roman" w:hAnsi="Times New Roman" w:cs="Times New Roman"/>
          <w:sz w:val="20"/>
        </w:rPr>
        <w:t>Apotel</w:t>
      </w:r>
      <w:proofErr w:type="spellEnd"/>
      <w:r w:rsidRPr="00662B74">
        <w:rPr>
          <w:rFonts w:ascii="Times New Roman" w:hAnsi="Times New Roman" w:cs="Times New Roman"/>
          <w:sz w:val="20"/>
        </w:rPr>
        <w:t xml:space="preserve"> group was significantly shorter (90 </w:t>
      </w:r>
      <w:r w:rsidRPr="00662B74">
        <w:rPr>
          <w:rFonts w:ascii="Times New Roman" w:hAnsi="Times New Roman" w:cs="Times New Roman"/>
          <w:i/>
          <w:sz w:val="20"/>
        </w:rPr>
        <w:t>vs.</w:t>
      </w:r>
      <w:r>
        <w:rPr>
          <w:rFonts w:ascii="Times New Roman" w:hAnsi="Times New Roman" w:cs="Times New Roman"/>
          <w:sz w:val="20"/>
        </w:rPr>
        <w:t xml:space="preserve"> 115; p-value&lt;</w:t>
      </w:r>
      <w:r w:rsidRPr="00662B74">
        <w:rPr>
          <w:rFonts w:ascii="Times New Roman" w:hAnsi="Times New Roman" w:cs="Times New Roman"/>
          <w:sz w:val="20"/>
        </w:rPr>
        <w:t xml:space="preserve">0.001). However, the dexamethasone group showed significantly less agitation (9 </w:t>
      </w:r>
      <w:r w:rsidRPr="00662B74">
        <w:rPr>
          <w:rFonts w:ascii="Times New Roman" w:hAnsi="Times New Roman" w:cs="Times New Roman"/>
          <w:i/>
          <w:sz w:val="20"/>
        </w:rPr>
        <w:t>vs.</w:t>
      </w:r>
      <w:r>
        <w:rPr>
          <w:rFonts w:ascii="Times New Roman" w:hAnsi="Times New Roman" w:cs="Times New Roman"/>
          <w:sz w:val="20"/>
        </w:rPr>
        <w:t xml:space="preserve"> 12; p-value=</w:t>
      </w:r>
      <w:r w:rsidRPr="00662B74">
        <w:rPr>
          <w:rFonts w:ascii="Times New Roman" w:hAnsi="Times New Roman" w:cs="Times New Roman"/>
          <w:sz w:val="20"/>
        </w:rPr>
        <w:t>0.005). There was no difference between the two groups in terms of oral pain and sore throat. Dexamet</w:t>
      </w:r>
      <w:r>
        <w:rPr>
          <w:rFonts w:ascii="Times New Roman" w:hAnsi="Times New Roman" w:cs="Times New Roman"/>
          <w:sz w:val="20"/>
        </w:rPr>
        <w:t>hasone group showed less nausea/</w:t>
      </w:r>
      <w:r w:rsidRPr="00662B74">
        <w:rPr>
          <w:rFonts w:ascii="Times New Roman" w:hAnsi="Times New Roman" w:cs="Times New Roman"/>
          <w:sz w:val="20"/>
        </w:rPr>
        <w:t>vomitin</w:t>
      </w:r>
      <w:r>
        <w:rPr>
          <w:rFonts w:ascii="Times New Roman" w:hAnsi="Times New Roman" w:cs="Times New Roman"/>
          <w:sz w:val="20"/>
        </w:rPr>
        <w:t>g during recovery (p-value=</w:t>
      </w:r>
      <w:r w:rsidRPr="00662B74">
        <w:rPr>
          <w:rFonts w:ascii="Times New Roman" w:hAnsi="Times New Roman" w:cs="Times New Roman"/>
          <w:sz w:val="20"/>
        </w:rPr>
        <w:t>0.005) b</w:t>
      </w:r>
      <w:r>
        <w:rPr>
          <w:rFonts w:ascii="Times New Roman" w:hAnsi="Times New Roman" w:cs="Times New Roman"/>
          <w:sz w:val="20"/>
        </w:rPr>
        <w:t>ut in 24-hour follow-up, nausea/</w:t>
      </w:r>
      <w:r w:rsidRPr="00662B74">
        <w:rPr>
          <w:rFonts w:ascii="Times New Roman" w:hAnsi="Times New Roman" w:cs="Times New Roman"/>
          <w:sz w:val="20"/>
        </w:rPr>
        <w:t>vomiting showed no significant difference b</w:t>
      </w:r>
      <w:r>
        <w:rPr>
          <w:rFonts w:ascii="Times New Roman" w:hAnsi="Times New Roman" w:cs="Times New Roman"/>
          <w:sz w:val="20"/>
        </w:rPr>
        <w:t>etween the two groups (p-value=</w:t>
      </w:r>
      <w:r w:rsidRPr="00662B74">
        <w:rPr>
          <w:rFonts w:ascii="Times New Roman" w:hAnsi="Times New Roman" w:cs="Times New Roman"/>
          <w:sz w:val="20"/>
        </w:rPr>
        <w:t>0.23).</w:t>
      </w:r>
    </w:p>
    <w:p w:rsidR="00662B74" w:rsidRPr="00662B74" w:rsidRDefault="00662B74" w:rsidP="00662B74">
      <w:pPr>
        <w:jc w:val="both"/>
        <w:rPr>
          <w:rFonts w:ascii="Times New Roman" w:hAnsi="Times New Roman" w:cs="Times New Roman"/>
          <w:sz w:val="20"/>
        </w:rPr>
      </w:pPr>
      <w:r w:rsidRPr="00662B74">
        <w:rPr>
          <w:rFonts w:ascii="Times New Roman" w:hAnsi="Times New Roman" w:cs="Times New Roman"/>
          <w:b/>
          <w:sz w:val="20"/>
        </w:rPr>
        <w:t>Conclusion:</w:t>
      </w:r>
      <w:r w:rsidRPr="00662B74">
        <w:rPr>
          <w:rFonts w:ascii="Times New Roman" w:hAnsi="Times New Roman" w:cs="Times New Roman"/>
          <w:sz w:val="20"/>
        </w:rPr>
        <w:t xml:space="preserve"> Dexamethasone is a more appropriate intervention compared to </w:t>
      </w:r>
      <w:proofErr w:type="spellStart"/>
      <w:r w:rsidRPr="00662B74">
        <w:rPr>
          <w:rFonts w:ascii="Times New Roman" w:hAnsi="Times New Roman" w:cs="Times New Roman"/>
          <w:sz w:val="20"/>
        </w:rPr>
        <w:t>Apotel</w:t>
      </w:r>
      <w:proofErr w:type="spellEnd"/>
      <w:r w:rsidRPr="00662B74">
        <w:rPr>
          <w:rFonts w:ascii="Times New Roman" w:hAnsi="Times New Roman" w:cs="Times New Roman"/>
          <w:sz w:val="20"/>
        </w:rPr>
        <w:t xml:space="preserve"> despite the longer recovery time, due to less agitation and nausea and vomiting during recovery. However, it has no advantage over </w:t>
      </w:r>
      <w:proofErr w:type="spellStart"/>
      <w:r w:rsidRPr="00662B74">
        <w:rPr>
          <w:rFonts w:ascii="Times New Roman" w:hAnsi="Times New Roman" w:cs="Times New Roman"/>
          <w:sz w:val="20"/>
        </w:rPr>
        <w:t>Apotel</w:t>
      </w:r>
      <w:proofErr w:type="spellEnd"/>
      <w:r w:rsidRPr="00662B74">
        <w:rPr>
          <w:rFonts w:ascii="Times New Roman" w:hAnsi="Times New Roman" w:cs="Times New Roman"/>
          <w:sz w:val="20"/>
        </w:rPr>
        <w:t xml:space="preserve"> in terms of reducing mouth pain and sore throat.</w:t>
      </w:r>
    </w:p>
    <w:p w:rsidR="00662B74" w:rsidRDefault="00662B74" w:rsidP="00662B74">
      <w:pPr>
        <w:jc w:val="both"/>
        <w:rPr>
          <w:rFonts w:ascii="Times New Roman" w:hAnsi="Times New Roman" w:cs="Times New Roman"/>
          <w:sz w:val="20"/>
        </w:rPr>
      </w:pPr>
      <w:r w:rsidRPr="00662B74">
        <w:rPr>
          <w:rFonts w:ascii="Times New Roman" w:hAnsi="Times New Roman" w:cs="Times New Roman"/>
          <w:b/>
          <w:sz w:val="20"/>
        </w:rPr>
        <w:t>Key</w:t>
      </w:r>
      <w:r w:rsidRPr="00662B74">
        <w:rPr>
          <w:rFonts w:ascii="Times New Roman" w:hAnsi="Times New Roman" w:cs="Times New Roman"/>
          <w:b/>
          <w:sz w:val="20"/>
        </w:rPr>
        <w:t>words:</w:t>
      </w:r>
      <w:r w:rsidRPr="00662B74">
        <w:rPr>
          <w:rFonts w:ascii="Times New Roman" w:hAnsi="Times New Roman" w:cs="Times New Roman"/>
          <w:sz w:val="20"/>
        </w:rPr>
        <w:t xml:space="preserve"> Acetaminophen, Agitation, Dentistry f</w:t>
      </w:r>
      <w:bookmarkStart w:id="0" w:name="_GoBack"/>
      <w:bookmarkEnd w:id="0"/>
      <w:r w:rsidRPr="00662B74">
        <w:rPr>
          <w:rFonts w:ascii="Times New Roman" w:hAnsi="Times New Roman" w:cs="Times New Roman"/>
          <w:sz w:val="20"/>
        </w:rPr>
        <w:t xml:space="preserve">or </w:t>
      </w:r>
      <w:r w:rsidRPr="00662B74">
        <w:rPr>
          <w:rFonts w:ascii="Times New Roman" w:hAnsi="Times New Roman" w:cs="Times New Roman"/>
          <w:sz w:val="20"/>
        </w:rPr>
        <w:t>children</w:t>
      </w:r>
      <w:r w:rsidRPr="00662B74">
        <w:rPr>
          <w:rFonts w:ascii="Times New Roman" w:hAnsi="Times New Roman" w:cs="Times New Roman"/>
          <w:sz w:val="20"/>
        </w:rPr>
        <w:t xml:space="preserve">, Dexamethasone, Emergence, General </w:t>
      </w:r>
      <w:r w:rsidRPr="00662B74">
        <w:rPr>
          <w:rFonts w:ascii="Times New Roman" w:hAnsi="Times New Roman" w:cs="Times New Roman"/>
          <w:sz w:val="20"/>
        </w:rPr>
        <w:t>anesthesia</w:t>
      </w:r>
      <w:r w:rsidRPr="00662B74">
        <w:rPr>
          <w:rFonts w:ascii="Times New Roman" w:hAnsi="Times New Roman" w:cs="Times New Roman"/>
          <w:sz w:val="20"/>
        </w:rPr>
        <w:t xml:space="preserve">, Pain, </w:t>
      </w:r>
      <w:proofErr w:type="spellStart"/>
      <w:r w:rsidRPr="00662B74">
        <w:rPr>
          <w:rFonts w:ascii="Times New Roman" w:hAnsi="Times New Roman" w:cs="Times New Roman"/>
          <w:sz w:val="20"/>
        </w:rPr>
        <w:t>Paracetamol</w:t>
      </w:r>
      <w:proofErr w:type="spellEnd"/>
      <w:r w:rsidRPr="00662B74">
        <w:rPr>
          <w:rFonts w:ascii="Times New Roman" w:hAnsi="Times New Roman" w:cs="Times New Roman"/>
          <w:sz w:val="20"/>
        </w:rPr>
        <w:t>, PONV</w:t>
      </w:r>
      <w:r>
        <w:rPr>
          <w:rFonts w:ascii="Times New Roman" w:hAnsi="Times New Roman" w:cs="Times New Roman"/>
          <w:sz w:val="20"/>
        </w:rPr>
        <w:t>.</w:t>
      </w:r>
    </w:p>
    <w:p w:rsidR="00662B74" w:rsidRPr="00662B74" w:rsidRDefault="00662B74" w:rsidP="00662B74">
      <w:pPr>
        <w:rPr>
          <w:rFonts w:ascii="Times New Roman" w:hAnsi="Times New Roman" w:cs="Times New Roman"/>
          <w:b/>
          <w:sz w:val="24"/>
        </w:rPr>
      </w:pPr>
      <w:r w:rsidRPr="00662B74">
        <w:rPr>
          <w:rFonts w:ascii="Times New Roman" w:hAnsi="Times New Roman" w:cs="Times New Roman"/>
          <w:b/>
          <w:sz w:val="24"/>
        </w:rPr>
        <w:t>Biography</w:t>
      </w:r>
    </w:p>
    <w:p w:rsidR="00662B74" w:rsidRPr="00662B74" w:rsidRDefault="00662B74" w:rsidP="00662B74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662B74">
        <w:rPr>
          <w:rFonts w:ascii="Times New Roman" w:hAnsi="Times New Roman" w:cs="Times New Roman"/>
          <w:sz w:val="20"/>
        </w:rPr>
        <w:t>Saeedeh</w:t>
      </w:r>
      <w:proofErr w:type="spellEnd"/>
      <w:r w:rsidRPr="00662B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62B74">
        <w:rPr>
          <w:rFonts w:ascii="Times New Roman" w:hAnsi="Times New Roman" w:cs="Times New Roman"/>
          <w:sz w:val="20"/>
        </w:rPr>
        <w:t>Mokhtari</w:t>
      </w:r>
      <w:proofErr w:type="spellEnd"/>
      <w:r>
        <w:rPr>
          <w:rFonts w:ascii="Times New Roman" w:hAnsi="Times New Roman" w:cs="Times New Roman"/>
          <w:sz w:val="20"/>
        </w:rPr>
        <w:t xml:space="preserve"> is an Associate Professor in</w:t>
      </w:r>
      <w:r w:rsidRPr="00662B74">
        <w:rPr>
          <w:rFonts w:ascii="Times New Roman" w:hAnsi="Times New Roman" w:cs="Times New Roman"/>
          <w:sz w:val="20"/>
        </w:rPr>
        <w:t xml:space="preserve"> Department of Pediatric Dentistry, Tehran University of Medical Sciences, </w:t>
      </w:r>
      <w:proofErr w:type="gramStart"/>
      <w:r w:rsidRPr="00662B74">
        <w:rPr>
          <w:rFonts w:ascii="Times New Roman" w:hAnsi="Times New Roman" w:cs="Times New Roman"/>
          <w:sz w:val="20"/>
        </w:rPr>
        <w:t>Tehran</w:t>
      </w:r>
      <w:proofErr w:type="gramEnd"/>
      <w:r w:rsidRPr="00662B74">
        <w:rPr>
          <w:rFonts w:ascii="Times New Roman" w:hAnsi="Times New Roman" w:cs="Times New Roman"/>
          <w:sz w:val="20"/>
        </w:rPr>
        <w:t>, Iran</w:t>
      </w:r>
      <w:r>
        <w:rPr>
          <w:rFonts w:ascii="Times New Roman" w:hAnsi="Times New Roman" w:cs="Times New Roman"/>
          <w:sz w:val="20"/>
        </w:rPr>
        <w:t>.</w:t>
      </w:r>
    </w:p>
    <w:sectPr w:rsidR="00662B74" w:rsidRPr="00662B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B74"/>
    <w:rsid w:val="0032354D"/>
    <w:rsid w:val="00474203"/>
    <w:rsid w:val="00535872"/>
    <w:rsid w:val="00662B74"/>
    <w:rsid w:val="00924B33"/>
    <w:rsid w:val="00F0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2023-04-18T05:29:00Z</dcterms:created>
  <dcterms:modified xsi:type="dcterms:W3CDTF">2023-04-18T06:17:00Z</dcterms:modified>
</cp:coreProperties>
</file>