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115D4">
      <w:pPr>
        <w:rPr>
          <w:rFonts w:ascii="Times New Roman" w:hAnsi="Times New Roman" w:cs="Times New Roman"/>
          <w:b/>
          <w:sz w:val="32"/>
        </w:rPr>
      </w:pPr>
      <w:r w:rsidRPr="007115D4">
        <w:rPr>
          <w:rFonts w:ascii="Times New Roman" w:hAnsi="Times New Roman" w:cs="Times New Roman"/>
          <w:b/>
          <w:sz w:val="32"/>
        </w:rPr>
        <w:t>Accessibility of judicial bypasses in the state of Missouri</w:t>
      </w:r>
    </w:p>
    <w:p w:rsidR="007115D4" w:rsidRDefault="007115D4">
      <w:pPr>
        <w:rPr>
          <w:rFonts w:ascii="Times New Roman" w:hAnsi="Times New Roman" w:cs="Times New Roman"/>
          <w:sz w:val="24"/>
        </w:rPr>
      </w:pPr>
      <w:proofErr w:type="spellStart"/>
      <w:r w:rsidRPr="007115D4">
        <w:rPr>
          <w:rFonts w:ascii="Times New Roman" w:hAnsi="Times New Roman" w:cs="Times New Roman"/>
          <w:sz w:val="24"/>
        </w:rPr>
        <w:t>Ayda</w:t>
      </w:r>
      <w:proofErr w:type="spellEnd"/>
      <w:r w:rsidRPr="007115D4">
        <w:rPr>
          <w:rFonts w:ascii="Times New Roman" w:hAnsi="Times New Roman" w:cs="Times New Roman"/>
          <w:sz w:val="24"/>
        </w:rPr>
        <w:t xml:space="preserve"> </w:t>
      </w:r>
      <w:proofErr w:type="spellStart"/>
      <w:r w:rsidRPr="007115D4">
        <w:rPr>
          <w:rFonts w:ascii="Times New Roman" w:hAnsi="Times New Roman" w:cs="Times New Roman"/>
          <w:sz w:val="24"/>
        </w:rPr>
        <w:t>Oktem</w:t>
      </w:r>
      <w:proofErr w:type="spellEnd"/>
    </w:p>
    <w:p w:rsidR="007115D4" w:rsidRPr="007115D4" w:rsidRDefault="007115D4" w:rsidP="007115D4">
      <w:pPr>
        <w:rPr>
          <w:rFonts w:ascii="Times New Roman" w:hAnsi="Times New Roman" w:cs="Times New Roman"/>
        </w:rPr>
      </w:pPr>
      <w:r w:rsidRPr="007115D4">
        <w:rPr>
          <w:rFonts w:ascii="Times New Roman" w:hAnsi="Times New Roman" w:cs="Times New Roman"/>
        </w:rPr>
        <w:t>Pro-Choice Missouri, USA</w:t>
      </w:r>
    </w:p>
    <w:p w:rsidR="007115D4" w:rsidRPr="007115D4" w:rsidRDefault="007115D4" w:rsidP="007115D4">
      <w:pPr>
        <w:jc w:val="center"/>
        <w:rPr>
          <w:rFonts w:ascii="Times New Roman" w:hAnsi="Times New Roman" w:cs="Times New Roman"/>
          <w:b/>
          <w:sz w:val="24"/>
        </w:rPr>
      </w:pPr>
      <w:r w:rsidRPr="007115D4">
        <w:rPr>
          <w:rFonts w:ascii="Times New Roman" w:hAnsi="Times New Roman" w:cs="Times New Roman"/>
          <w:b/>
          <w:sz w:val="24"/>
        </w:rPr>
        <w:t>Abstract</w:t>
      </w:r>
    </w:p>
    <w:p w:rsidR="00B30321" w:rsidRDefault="007115D4" w:rsidP="007115D4">
      <w:pPr>
        <w:jc w:val="both"/>
        <w:rPr>
          <w:rFonts w:ascii="Times New Roman" w:hAnsi="Times New Roman" w:cs="Times New Roman"/>
          <w:sz w:val="20"/>
        </w:rPr>
      </w:pPr>
      <w:r w:rsidRPr="007115D4">
        <w:rPr>
          <w:rFonts w:ascii="Times New Roman" w:hAnsi="Times New Roman" w:cs="Times New Roman"/>
          <w:b/>
          <w:sz w:val="20"/>
        </w:rPr>
        <w:t>Introduction:</w:t>
      </w:r>
      <w:r w:rsidRPr="007115D4">
        <w:rPr>
          <w:rFonts w:ascii="Times New Roman" w:hAnsi="Times New Roman" w:cs="Times New Roman"/>
          <w:sz w:val="20"/>
        </w:rPr>
        <w:t xml:space="preserve"> In 1973, the US Supreme Court ruled in Roe v. Wade that abortion is constitutional; however, it was decided that after</w:t>
      </w:r>
      <w:r w:rsidRPr="007115D4">
        <w:t xml:space="preserve"> </w:t>
      </w:r>
      <w:r w:rsidRPr="007115D4">
        <w:rPr>
          <w:rFonts w:ascii="Times New Roman" w:hAnsi="Times New Roman" w:cs="Times New Roman"/>
          <w:sz w:val="20"/>
        </w:rPr>
        <w:t xml:space="preserve">the fetus is viable, states could regulate abortion care if it promoted the best interest of the pregnant person. This clause became a loophole for anti-abortion legislators to pass laws </w:t>
      </w:r>
      <w:r>
        <w:rPr>
          <w:rFonts w:ascii="Times New Roman" w:hAnsi="Times New Roman" w:cs="Times New Roman"/>
          <w:sz w:val="20"/>
        </w:rPr>
        <w:t>restricting access to abortions</w:t>
      </w:r>
      <w:r w:rsidRPr="007115D4">
        <w:rPr>
          <w:rFonts w:ascii="Times New Roman" w:hAnsi="Times New Roman" w:cs="Times New Roman"/>
          <w:sz w:val="20"/>
        </w:rPr>
        <w:t>.</w:t>
      </w:r>
      <w:r w:rsidR="00B30321">
        <w:rPr>
          <w:rFonts w:ascii="Times New Roman" w:hAnsi="Times New Roman" w:cs="Times New Roman"/>
          <w:sz w:val="20"/>
        </w:rPr>
        <w:t xml:space="preserve"> </w:t>
      </w:r>
    </w:p>
    <w:p w:rsidR="00B30321" w:rsidRDefault="007115D4" w:rsidP="007115D4">
      <w:pPr>
        <w:jc w:val="both"/>
        <w:rPr>
          <w:rFonts w:ascii="Times New Roman" w:hAnsi="Times New Roman" w:cs="Times New Roman"/>
          <w:sz w:val="20"/>
        </w:rPr>
      </w:pPr>
      <w:r w:rsidRPr="007115D4">
        <w:rPr>
          <w:rFonts w:ascii="Times New Roman" w:hAnsi="Times New Roman" w:cs="Times New Roman"/>
          <w:sz w:val="20"/>
        </w:rPr>
        <w:t>Minors have often been an easy target for anti-choice legislators. Mandatory parental involvement laws act as a</w:t>
      </w:r>
      <w:r w:rsidRPr="007115D4">
        <w:t xml:space="preserve"> </w:t>
      </w:r>
      <w:r w:rsidRPr="007115D4">
        <w:rPr>
          <w:rFonts w:ascii="Times New Roman" w:hAnsi="Times New Roman" w:cs="Times New Roman"/>
          <w:sz w:val="20"/>
        </w:rPr>
        <w:t>discouragement for minors to stop getting abortions. The</w:t>
      </w:r>
      <w:r>
        <w:rPr>
          <w:rFonts w:ascii="Times New Roman" w:hAnsi="Times New Roman" w:cs="Times New Roman"/>
          <w:sz w:val="20"/>
        </w:rPr>
        <w:t xml:space="preserve"> </w:t>
      </w:r>
      <w:r w:rsidRPr="007115D4">
        <w:rPr>
          <w:rFonts w:ascii="Times New Roman" w:hAnsi="Times New Roman" w:cs="Times New Roman"/>
          <w:sz w:val="20"/>
        </w:rPr>
        <w:t xml:space="preserve">1979 Supreme Court case </w:t>
      </w:r>
      <w:proofErr w:type="spellStart"/>
      <w:r w:rsidRPr="007115D4">
        <w:rPr>
          <w:rFonts w:ascii="Times New Roman" w:hAnsi="Times New Roman" w:cs="Times New Roman"/>
          <w:sz w:val="20"/>
        </w:rPr>
        <w:t>Belotti</w:t>
      </w:r>
      <w:proofErr w:type="spellEnd"/>
      <w:r w:rsidRPr="007115D4">
        <w:rPr>
          <w:rFonts w:ascii="Times New Roman" w:hAnsi="Times New Roman" w:cs="Times New Roman"/>
          <w:sz w:val="20"/>
        </w:rPr>
        <w:t xml:space="preserve"> v. Baird found parental involvement laws to be unconstitutional without the existence of an alternative option, which is a judicial bypass procedure, where a minor replaces parental involvement with a petit</w:t>
      </w:r>
      <w:r>
        <w:rPr>
          <w:rFonts w:ascii="Times New Roman" w:hAnsi="Times New Roman" w:cs="Times New Roman"/>
          <w:sz w:val="20"/>
        </w:rPr>
        <w:t>ion granted by a juvenile court</w:t>
      </w:r>
      <w:r w:rsidRPr="007115D4">
        <w:rPr>
          <w:rFonts w:ascii="Times New Roman" w:hAnsi="Times New Roman" w:cs="Times New Roman"/>
          <w:sz w:val="20"/>
        </w:rPr>
        <w:t>.</w:t>
      </w:r>
      <w:r w:rsidR="00B30321">
        <w:rPr>
          <w:rFonts w:ascii="Times New Roman" w:hAnsi="Times New Roman" w:cs="Times New Roman"/>
          <w:sz w:val="20"/>
        </w:rPr>
        <w:t xml:space="preserve"> </w:t>
      </w:r>
    </w:p>
    <w:p w:rsidR="007115D4" w:rsidRDefault="007115D4" w:rsidP="007115D4">
      <w:pPr>
        <w:jc w:val="both"/>
        <w:rPr>
          <w:rFonts w:ascii="Times New Roman" w:hAnsi="Times New Roman" w:cs="Times New Roman"/>
          <w:sz w:val="20"/>
        </w:rPr>
      </w:pPr>
      <w:r w:rsidRPr="007115D4">
        <w:rPr>
          <w:rFonts w:ascii="Times New Roman" w:hAnsi="Times New Roman" w:cs="Times New Roman"/>
          <w:sz w:val="20"/>
        </w:rPr>
        <w:t>Missouri law requires minors to get one parent or guardian’s written consent before getting an abortion. The minor can obtain a judicial bypass to get an abortion without gettin</w:t>
      </w:r>
      <w:r>
        <w:rPr>
          <w:rFonts w:ascii="Times New Roman" w:hAnsi="Times New Roman" w:cs="Times New Roman"/>
          <w:sz w:val="20"/>
        </w:rPr>
        <w:t>g written consent from a parent</w:t>
      </w:r>
      <w:r w:rsidRPr="007115D4">
        <w:rPr>
          <w:rFonts w:ascii="Times New Roman" w:hAnsi="Times New Roman" w:cs="Times New Roman"/>
          <w:sz w:val="20"/>
        </w:rPr>
        <w:t>.</w:t>
      </w:r>
    </w:p>
    <w:p w:rsidR="00B30321" w:rsidRDefault="007115D4" w:rsidP="007115D4">
      <w:pPr>
        <w:jc w:val="both"/>
        <w:rPr>
          <w:rFonts w:ascii="Times New Roman" w:hAnsi="Times New Roman" w:cs="Times New Roman"/>
          <w:sz w:val="20"/>
        </w:rPr>
      </w:pPr>
      <w:r w:rsidRPr="007115D4">
        <w:rPr>
          <w:rFonts w:ascii="Times New Roman" w:hAnsi="Times New Roman" w:cs="Times New Roman"/>
          <w:b/>
          <w:sz w:val="20"/>
        </w:rPr>
        <w:t>Methods:</w:t>
      </w:r>
      <w:r>
        <w:rPr>
          <w:rFonts w:ascii="Times New Roman" w:hAnsi="Times New Roman" w:cs="Times New Roman"/>
          <w:sz w:val="20"/>
        </w:rPr>
        <w:t xml:space="preserve"> </w:t>
      </w:r>
      <w:r w:rsidRPr="007115D4">
        <w:rPr>
          <w:rFonts w:ascii="Times New Roman" w:hAnsi="Times New Roman" w:cs="Times New Roman"/>
          <w:sz w:val="20"/>
        </w:rPr>
        <w:t>This study took cues from a previous 2009 report on judicial bypass accessibility in Missouri</w:t>
      </w:r>
      <w:r w:rsidR="00B30321">
        <w:rPr>
          <w:rFonts w:ascii="Times New Roman" w:hAnsi="Times New Roman" w:cs="Times New Roman"/>
          <w:sz w:val="20"/>
        </w:rPr>
        <w:t xml:space="preserve">, written by </w:t>
      </w:r>
      <w:proofErr w:type="spellStart"/>
      <w:r w:rsidR="00B30321">
        <w:rPr>
          <w:rFonts w:ascii="Times New Roman" w:hAnsi="Times New Roman" w:cs="Times New Roman"/>
          <w:sz w:val="20"/>
        </w:rPr>
        <w:t>Shyamali</w:t>
      </w:r>
      <w:proofErr w:type="spellEnd"/>
      <w:r w:rsidR="00B30321">
        <w:rPr>
          <w:rFonts w:ascii="Times New Roman" w:hAnsi="Times New Roman" w:cs="Times New Roman"/>
          <w:sz w:val="20"/>
        </w:rPr>
        <w:t xml:space="preserve"> </w:t>
      </w:r>
      <w:proofErr w:type="spellStart"/>
      <w:r w:rsidR="00B30321">
        <w:rPr>
          <w:rFonts w:ascii="Times New Roman" w:hAnsi="Times New Roman" w:cs="Times New Roman"/>
          <w:sz w:val="20"/>
        </w:rPr>
        <w:t>Choudhury</w:t>
      </w:r>
      <w:proofErr w:type="spellEnd"/>
      <w:r w:rsidRPr="007115D4">
        <w:rPr>
          <w:rFonts w:ascii="Times New Roman" w:hAnsi="Times New Roman" w:cs="Times New Roman"/>
          <w:sz w:val="20"/>
        </w:rPr>
        <w:t>, and the purpose of this study is to update the findings of eleven years later. Each of the 115 county circuit courts were called and asked a survey of questions. The script was created with the intent of learning more information on the judicial bypass process using a caller who was seeking information on behalf of a minor who was seeking a judicial bypass but was uncertain about how to proceed.</w:t>
      </w:r>
      <w:r w:rsidR="00B30321">
        <w:rPr>
          <w:rFonts w:ascii="Times New Roman" w:hAnsi="Times New Roman" w:cs="Times New Roman"/>
          <w:sz w:val="20"/>
        </w:rPr>
        <w:t xml:space="preserve"> </w:t>
      </w:r>
    </w:p>
    <w:p w:rsidR="007115D4" w:rsidRDefault="007115D4" w:rsidP="007115D4">
      <w:pPr>
        <w:jc w:val="both"/>
        <w:rPr>
          <w:rFonts w:ascii="Times New Roman" w:hAnsi="Times New Roman" w:cs="Times New Roman"/>
          <w:sz w:val="20"/>
        </w:rPr>
      </w:pPr>
      <w:r w:rsidRPr="007115D4">
        <w:rPr>
          <w:rFonts w:ascii="Times New Roman" w:hAnsi="Times New Roman" w:cs="Times New Roman"/>
          <w:sz w:val="20"/>
        </w:rPr>
        <w:t xml:space="preserve">The calls were made between April 2020 and June 2020. After each call, the court was given a quantitative score based on a rubric. A scale from 0-100 from </w:t>
      </w:r>
      <w:proofErr w:type="spellStart"/>
      <w:r w:rsidRPr="007115D4">
        <w:rPr>
          <w:rFonts w:ascii="Times New Roman" w:hAnsi="Times New Roman" w:cs="Times New Roman"/>
          <w:sz w:val="20"/>
        </w:rPr>
        <w:t>Choudhury’s</w:t>
      </w:r>
      <w:proofErr w:type="spellEnd"/>
      <w:r w:rsidRPr="007115D4">
        <w:rPr>
          <w:rFonts w:ascii="Times New Roman" w:hAnsi="Times New Roman" w:cs="Times New Roman"/>
          <w:sz w:val="20"/>
        </w:rPr>
        <w:t xml:space="preserve"> paper was taken as a guide. Twenty points were appointed to “overall</w:t>
      </w:r>
      <w:r>
        <w:rPr>
          <w:rFonts w:ascii="Times New Roman" w:hAnsi="Times New Roman" w:cs="Times New Roman"/>
          <w:sz w:val="20"/>
        </w:rPr>
        <w:t xml:space="preserve"> </w:t>
      </w:r>
      <w:r w:rsidRPr="007115D4">
        <w:rPr>
          <w:rFonts w:ascii="Times New Roman" w:hAnsi="Times New Roman" w:cs="Times New Roman"/>
          <w:sz w:val="20"/>
        </w:rPr>
        <w:t>treatment”. Another twenty points were reserved for</w:t>
      </w:r>
      <w:r>
        <w:rPr>
          <w:rFonts w:ascii="Times New Roman" w:hAnsi="Times New Roman" w:cs="Times New Roman"/>
          <w:sz w:val="20"/>
        </w:rPr>
        <w:t xml:space="preserve"> </w:t>
      </w:r>
      <w:r w:rsidRPr="007115D4">
        <w:rPr>
          <w:rFonts w:ascii="Times New Roman" w:hAnsi="Times New Roman" w:cs="Times New Roman"/>
          <w:sz w:val="20"/>
        </w:rPr>
        <w:t>“Correctness of Response”. The last sixty points were given under the “Completeness of Response”, which included confidentiality of the process, court-appointed counsel, private hearing, no associated costs and expeditious handling.</w:t>
      </w:r>
    </w:p>
    <w:p w:rsidR="007115D4" w:rsidRDefault="007115D4" w:rsidP="007115D4">
      <w:pPr>
        <w:jc w:val="both"/>
        <w:rPr>
          <w:rFonts w:ascii="Times New Roman" w:hAnsi="Times New Roman" w:cs="Times New Roman"/>
          <w:sz w:val="20"/>
        </w:rPr>
      </w:pPr>
      <w:r w:rsidRPr="007115D4">
        <w:rPr>
          <w:rFonts w:ascii="Times New Roman" w:hAnsi="Times New Roman" w:cs="Times New Roman"/>
          <w:b/>
          <w:sz w:val="20"/>
        </w:rPr>
        <w:t>Results:</w:t>
      </w:r>
      <w:r>
        <w:rPr>
          <w:rFonts w:ascii="Times New Roman" w:hAnsi="Times New Roman" w:cs="Times New Roman"/>
          <w:sz w:val="20"/>
        </w:rPr>
        <w:t xml:space="preserve"> </w:t>
      </w:r>
      <w:r w:rsidRPr="007115D4">
        <w:rPr>
          <w:rFonts w:ascii="Times New Roman" w:hAnsi="Times New Roman" w:cs="Times New Roman"/>
          <w:sz w:val="20"/>
        </w:rPr>
        <w:t>Of the 115 courts that were called, 113 of them answered and gave the callers at least one of these four common answers, if not all:</w:t>
      </w:r>
    </w:p>
    <w:p w:rsidR="007115D4" w:rsidRPr="007115D4" w:rsidRDefault="007115D4" w:rsidP="007115D4">
      <w:pPr>
        <w:jc w:val="center"/>
        <w:rPr>
          <w:rFonts w:ascii="Times New Roman" w:hAnsi="Times New Roman" w:cs="Times New Roman"/>
          <w:i/>
          <w:sz w:val="18"/>
        </w:rPr>
      </w:pPr>
      <w:proofErr w:type="gramStart"/>
      <w:r w:rsidRPr="007115D4">
        <w:rPr>
          <w:rFonts w:ascii="Times New Roman" w:hAnsi="Times New Roman" w:cs="Times New Roman"/>
          <w:b/>
          <w:i/>
          <w:sz w:val="18"/>
        </w:rPr>
        <w:t>Table 1.</w:t>
      </w:r>
      <w:proofErr w:type="gramEnd"/>
      <w:r w:rsidRPr="007115D4">
        <w:rPr>
          <w:rFonts w:ascii="Times New Roman" w:hAnsi="Times New Roman" w:cs="Times New Roman"/>
          <w:i/>
          <w:sz w:val="18"/>
        </w:rPr>
        <w:t xml:space="preserve"> </w:t>
      </w:r>
      <w:proofErr w:type="gramStart"/>
      <w:r w:rsidRPr="007115D4">
        <w:rPr>
          <w:rFonts w:ascii="Times New Roman" w:hAnsi="Times New Roman" w:cs="Times New Roman"/>
          <w:i/>
          <w:sz w:val="18"/>
        </w:rPr>
        <w:t>Most common answers.</w:t>
      </w:r>
      <w:proofErr w:type="gramEnd"/>
    </w:p>
    <w:tbl>
      <w:tblPr>
        <w:tblStyle w:val="TableGrid"/>
        <w:tblW w:w="0" w:type="auto"/>
        <w:jc w:val="center"/>
        <w:tblLook w:val="04A0" w:firstRow="1" w:lastRow="0" w:firstColumn="1" w:lastColumn="0" w:noHBand="0" w:noVBand="1"/>
      </w:tblPr>
      <w:tblGrid>
        <w:gridCol w:w="2338"/>
        <w:gridCol w:w="2882"/>
        <w:gridCol w:w="3815"/>
      </w:tblGrid>
      <w:tr w:rsidR="007115D4" w:rsidTr="007115D4">
        <w:trPr>
          <w:jc w:val="center"/>
        </w:trPr>
        <w:tc>
          <w:tcPr>
            <w:tcW w:w="2338" w:type="dxa"/>
          </w:tcPr>
          <w:p w:rsidR="007115D4" w:rsidRPr="007115D4" w:rsidRDefault="007115D4" w:rsidP="007115D4">
            <w:pPr>
              <w:jc w:val="center"/>
              <w:rPr>
                <w:rFonts w:ascii="Arial" w:hAnsi="Arial" w:cs="Arial"/>
                <w:b/>
                <w:sz w:val="14"/>
                <w:szCs w:val="14"/>
              </w:rPr>
            </w:pPr>
            <w:r w:rsidRPr="007115D4">
              <w:rPr>
                <w:rFonts w:ascii="Arial" w:hAnsi="Arial" w:cs="Arial"/>
                <w:b/>
                <w:sz w:val="14"/>
                <w:szCs w:val="14"/>
              </w:rPr>
              <w:t>Most Common Answers</w:t>
            </w:r>
          </w:p>
        </w:tc>
        <w:tc>
          <w:tcPr>
            <w:tcW w:w="2882" w:type="dxa"/>
          </w:tcPr>
          <w:p w:rsidR="007115D4" w:rsidRPr="007115D4" w:rsidRDefault="007115D4" w:rsidP="007115D4">
            <w:pPr>
              <w:jc w:val="center"/>
              <w:rPr>
                <w:rFonts w:ascii="Arial" w:hAnsi="Arial" w:cs="Arial"/>
                <w:b/>
                <w:sz w:val="14"/>
                <w:szCs w:val="14"/>
              </w:rPr>
            </w:pPr>
            <w:r w:rsidRPr="007115D4">
              <w:rPr>
                <w:rFonts w:ascii="Arial" w:hAnsi="Arial" w:cs="Arial"/>
                <w:b/>
                <w:sz w:val="14"/>
                <w:szCs w:val="14"/>
              </w:rPr>
              <w:t>Number of courts that answered</w:t>
            </w:r>
          </w:p>
        </w:tc>
        <w:tc>
          <w:tcPr>
            <w:tcW w:w="3815" w:type="dxa"/>
          </w:tcPr>
          <w:p w:rsidR="007115D4" w:rsidRPr="007115D4" w:rsidRDefault="007115D4" w:rsidP="007115D4">
            <w:pPr>
              <w:jc w:val="center"/>
              <w:rPr>
                <w:rFonts w:ascii="Arial" w:hAnsi="Arial" w:cs="Arial"/>
                <w:b/>
                <w:sz w:val="14"/>
                <w:szCs w:val="14"/>
              </w:rPr>
            </w:pPr>
            <w:r w:rsidRPr="007115D4">
              <w:rPr>
                <w:rFonts w:ascii="Arial" w:hAnsi="Arial" w:cs="Arial"/>
                <w:b/>
                <w:sz w:val="14"/>
                <w:szCs w:val="14"/>
              </w:rPr>
              <w:t>Percentage of courts that gave this response</w:t>
            </w:r>
          </w:p>
        </w:tc>
      </w:tr>
      <w:tr w:rsidR="007115D4" w:rsidTr="007115D4">
        <w:trPr>
          <w:jc w:val="center"/>
        </w:trPr>
        <w:tc>
          <w:tcPr>
            <w:tcW w:w="2338"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Talk to an attorney</w:t>
            </w:r>
          </w:p>
        </w:tc>
        <w:tc>
          <w:tcPr>
            <w:tcW w:w="2882"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83</w:t>
            </w:r>
          </w:p>
        </w:tc>
        <w:tc>
          <w:tcPr>
            <w:tcW w:w="3815"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74.10%</w:t>
            </w:r>
          </w:p>
        </w:tc>
      </w:tr>
      <w:tr w:rsidR="007115D4" w:rsidTr="007115D4">
        <w:trPr>
          <w:jc w:val="center"/>
        </w:trPr>
        <w:tc>
          <w:tcPr>
            <w:tcW w:w="2338"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No knowledge of the law</w:t>
            </w:r>
          </w:p>
        </w:tc>
        <w:tc>
          <w:tcPr>
            <w:tcW w:w="2882"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59</w:t>
            </w:r>
          </w:p>
        </w:tc>
        <w:tc>
          <w:tcPr>
            <w:tcW w:w="3815"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52.70%</w:t>
            </w:r>
          </w:p>
        </w:tc>
      </w:tr>
      <w:tr w:rsidR="007115D4" w:rsidTr="007115D4">
        <w:trPr>
          <w:jc w:val="center"/>
        </w:trPr>
        <w:tc>
          <w:tcPr>
            <w:tcW w:w="2338"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Can’t give legal advice</w:t>
            </w:r>
          </w:p>
        </w:tc>
        <w:tc>
          <w:tcPr>
            <w:tcW w:w="2882"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26</w:t>
            </w:r>
          </w:p>
        </w:tc>
        <w:tc>
          <w:tcPr>
            <w:tcW w:w="3815"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23.20%</w:t>
            </w:r>
          </w:p>
        </w:tc>
      </w:tr>
      <w:tr w:rsidR="007115D4" w:rsidTr="007115D4">
        <w:trPr>
          <w:jc w:val="center"/>
        </w:trPr>
        <w:tc>
          <w:tcPr>
            <w:tcW w:w="2338"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Will call you back</w:t>
            </w:r>
          </w:p>
        </w:tc>
        <w:tc>
          <w:tcPr>
            <w:tcW w:w="2882"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14</w:t>
            </w:r>
          </w:p>
        </w:tc>
        <w:tc>
          <w:tcPr>
            <w:tcW w:w="3815" w:type="dxa"/>
          </w:tcPr>
          <w:p w:rsidR="007115D4" w:rsidRPr="007115D4" w:rsidRDefault="007115D4" w:rsidP="007115D4">
            <w:pPr>
              <w:jc w:val="center"/>
              <w:rPr>
                <w:rFonts w:ascii="Arial" w:hAnsi="Arial" w:cs="Arial"/>
                <w:sz w:val="14"/>
                <w:szCs w:val="14"/>
              </w:rPr>
            </w:pPr>
            <w:r w:rsidRPr="007115D4">
              <w:rPr>
                <w:rFonts w:ascii="Arial" w:hAnsi="Arial" w:cs="Arial"/>
                <w:sz w:val="14"/>
                <w:szCs w:val="14"/>
              </w:rPr>
              <w:t>12.50%</w:t>
            </w:r>
          </w:p>
        </w:tc>
      </w:tr>
    </w:tbl>
    <w:p w:rsidR="007115D4" w:rsidRDefault="007115D4" w:rsidP="007115D4">
      <w:pPr>
        <w:spacing w:before="200"/>
        <w:jc w:val="both"/>
        <w:rPr>
          <w:rFonts w:ascii="Times New Roman" w:hAnsi="Times New Roman" w:cs="Times New Roman"/>
          <w:sz w:val="20"/>
        </w:rPr>
      </w:pPr>
      <w:r w:rsidRPr="007115D4">
        <w:rPr>
          <w:rFonts w:ascii="Times New Roman" w:hAnsi="Times New Roman" w:cs="Times New Roman"/>
          <w:sz w:val="20"/>
        </w:rPr>
        <w:t xml:space="preserve">The </w:t>
      </w:r>
      <w:r w:rsidR="00B274CF">
        <w:rPr>
          <w:rFonts w:ascii="Times New Roman" w:hAnsi="Times New Roman" w:cs="Times New Roman"/>
          <w:sz w:val="20"/>
        </w:rPr>
        <w:t>[</w:t>
      </w:r>
      <w:r w:rsidR="00B274CF" w:rsidRPr="007115D4">
        <w:rPr>
          <w:rFonts w:ascii="Times New Roman" w:hAnsi="Times New Roman" w:cs="Times New Roman"/>
          <w:sz w:val="20"/>
        </w:rPr>
        <w:t xml:space="preserve">Table </w:t>
      </w:r>
      <w:r w:rsidR="00B274CF">
        <w:rPr>
          <w:rFonts w:ascii="Times New Roman" w:hAnsi="Times New Roman" w:cs="Times New Roman"/>
          <w:sz w:val="20"/>
        </w:rPr>
        <w:t xml:space="preserve">1] </w:t>
      </w:r>
      <w:r w:rsidRPr="007115D4">
        <w:rPr>
          <w:rFonts w:ascii="Times New Roman" w:hAnsi="Times New Roman" w:cs="Times New Roman"/>
          <w:sz w:val="20"/>
        </w:rPr>
        <w:t>shows that no court got an assessment rubric score higher than a 65. A concerning 86.61% got a score of zero.</w:t>
      </w:r>
    </w:p>
    <w:p w:rsidR="00B30321" w:rsidRPr="00B30321" w:rsidRDefault="00B30321" w:rsidP="00B30321">
      <w:pPr>
        <w:spacing w:before="200"/>
        <w:jc w:val="both"/>
        <w:rPr>
          <w:rFonts w:ascii="Times New Roman" w:hAnsi="Times New Roman" w:cs="Times New Roman"/>
          <w:sz w:val="20"/>
        </w:rPr>
      </w:pPr>
      <w:r w:rsidRPr="00B30321">
        <w:rPr>
          <w:rFonts w:ascii="Times New Roman" w:hAnsi="Times New Roman" w:cs="Times New Roman"/>
          <w:b/>
          <w:i/>
          <w:sz w:val="20"/>
        </w:rPr>
        <w:t xml:space="preserve">Talk to an </w:t>
      </w:r>
      <w:r w:rsidRPr="00B30321">
        <w:rPr>
          <w:rFonts w:ascii="Times New Roman" w:hAnsi="Times New Roman" w:cs="Times New Roman"/>
          <w:b/>
          <w:i/>
          <w:sz w:val="20"/>
        </w:rPr>
        <w:t>attorney</w:t>
      </w:r>
      <w:r w:rsidRPr="00B30321">
        <w:rPr>
          <w:rFonts w:ascii="Times New Roman" w:hAnsi="Times New Roman" w:cs="Times New Roman"/>
          <w:b/>
          <w:i/>
          <w:sz w:val="20"/>
        </w:rPr>
        <w:t>:</w:t>
      </w:r>
      <w:r w:rsidRPr="00B30321">
        <w:rPr>
          <w:rFonts w:ascii="Times New Roman" w:hAnsi="Times New Roman" w:cs="Times New Roman"/>
          <w:sz w:val="20"/>
        </w:rPr>
        <w:t xml:space="preserve"> All of the courts failed to mention the right to free counsel. Minors could feel insecure about approaching an attorney due to concerns about costs, anonymity and privacy, especially in small counties with a limited number of attorneys.</w:t>
      </w:r>
    </w:p>
    <w:p w:rsidR="00B30321" w:rsidRPr="00B30321" w:rsidRDefault="00B30321" w:rsidP="00B30321">
      <w:pPr>
        <w:spacing w:before="200"/>
        <w:jc w:val="both"/>
        <w:rPr>
          <w:rFonts w:ascii="Times New Roman" w:hAnsi="Times New Roman" w:cs="Times New Roman"/>
          <w:sz w:val="20"/>
        </w:rPr>
      </w:pPr>
      <w:r w:rsidRPr="00B30321">
        <w:rPr>
          <w:rFonts w:ascii="Times New Roman" w:hAnsi="Times New Roman" w:cs="Times New Roman"/>
          <w:b/>
          <w:i/>
          <w:sz w:val="20"/>
        </w:rPr>
        <w:lastRenderedPageBreak/>
        <w:t xml:space="preserve">No </w:t>
      </w:r>
      <w:r w:rsidRPr="00B30321">
        <w:rPr>
          <w:rFonts w:ascii="Times New Roman" w:hAnsi="Times New Roman" w:cs="Times New Roman"/>
          <w:b/>
          <w:i/>
          <w:sz w:val="20"/>
        </w:rPr>
        <w:t xml:space="preserve">knowledge </w:t>
      </w:r>
      <w:r w:rsidRPr="00B30321">
        <w:rPr>
          <w:rFonts w:ascii="Times New Roman" w:hAnsi="Times New Roman" w:cs="Times New Roman"/>
          <w:b/>
          <w:i/>
          <w:sz w:val="20"/>
        </w:rPr>
        <w:t xml:space="preserve">of the </w:t>
      </w:r>
      <w:r w:rsidRPr="00B30321">
        <w:rPr>
          <w:rFonts w:ascii="Times New Roman" w:hAnsi="Times New Roman" w:cs="Times New Roman"/>
          <w:b/>
          <w:i/>
          <w:sz w:val="20"/>
        </w:rPr>
        <w:t>law</w:t>
      </w:r>
      <w:r w:rsidRPr="00B30321">
        <w:rPr>
          <w:rFonts w:ascii="Times New Roman" w:hAnsi="Times New Roman" w:cs="Times New Roman"/>
          <w:b/>
          <w:i/>
          <w:sz w:val="20"/>
        </w:rPr>
        <w:t>:</w:t>
      </w:r>
      <w:r w:rsidRPr="00B30321">
        <w:rPr>
          <w:rFonts w:ascii="Times New Roman" w:hAnsi="Times New Roman" w:cs="Times New Roman"/>
          <w:sz w:val="20"/>
        </w:rPr>
        <w:t xml:space="preserve"> Many clerks mentioned that they have never dealt with anything similar before. Some clerks stated that it was a matter that didn’t involve the court. Incorrect information would misguide minors into thinking they don’t have to get a bypass to get an abortion.</w:t>
      </w:r>
    </w:p>
    <w:p w:rsidR="00B30321" w:rsidRPr="00B30321" w:rsidRDefault="00B30321" w:rsidP="00B30321">
      <w:pPr>
        <w:spacing w:before="200"/>
        <w:jc w:val="both"/>
        <w:rPr>
          <w:rFonts w:ascii="Times New Roman" w:hAnsi="Times New Roman" w:cs="Times New Roman"/>
          <w:sz w:val="20"/>
        </w:rPr>
      </w:pPr>
      <w:proofErr w:type="gramStart"/>
      <w:r w:rsidRPr="00B30321">
        <w:rPr>
          <w:rFonts w:ascii="Times New Roman" w:hAnsi="Times New Roman" w:cs="Times New Roman"/>
          <w:b/>
          <w:i/>
          <w:sz w:val="20"/>
        </w:rPr>
        <w:t xml:space="preserve">Can’t </w:t>
      </w:r>
      <w:r w:rsidRPr="00B30321">
        <w:rPr>
          <w:rFonts w:ascii="Times New Roman" w:hAnsi="Times New Roman" w:cs="Times New Roman"/>
          <w:b/>
          <w:i/>
          <w:sz w:val="20"/>
        </w:rPr>
        <w:t>give legal advice</w:t>
      </w:r>
      <w:r w:rsidRPr="00B30321">
        <w:rPr>
          <w:rFonts w:ascii="Times New Roman" w:hAnsi="Times New Roman" w:cs="Times New Roman"/>
          <w:b/>
          <w:i/>
          <w:sz w:val="20"/>
        </w:rPr>
        <w:t>:</w:t>
      </w:r>
      <w:r w:rsidRPr="00B30321">
        <w:rPr>
          <w:rFonts w:ascii="Times New Roman" w:hAnsi="Times New Roman" w:cs="Times New Roman"/>
          <w:sz w:val="20"/>
        </w:rPr>
        <w:t xml:space="preserve"> Even when callers underscored that they are not looking for legal</w:t>
      </w:r>
      <w:r>
        <w:rPr>
          <w:rFonts w:ascii="Times New Roman" w:hAnsi="Times New Roman" w:cs="Times New Roman"/>
          <w:sz w:val="20"/>
        </w:rPr>
        <w:t xml:space="preserve"> </w:t>
      </w:r>
      <w:r w:rsidRPr="00B30321">
        <w:rPr>
          <w:rFonts w:ascii="Times New Roman" w:hAnsi="Times New Roman" w:cs="Times New Roman"/>
          <w:sz w:val="20"/>
        </w:rPr>
        <w:t>advice, clerks restated that any information would be considered legal advice.</w:t>
      </w:r>
      <w:proofErr w:type="gramEnd"/>
      <w:r w:rsidRPr="00B30321">
        <w:rPr>
          <w:rFonts w:ascii="Times New Roman" w:hAnsi="Times New Roman" w:cs="Times New Roman"/>
          <w:sz w:val="20"/>
        </w:rPr>
        <w:t xml:space="preserve"> Missouri’s court system must understand the difference between legal information and legal advice.</w:t>
      </w:r>
    </w:p>
    <w:p w:rsidR="00B30321" w:rsidRDefault="00B30321" w:rsidP="00B30321">
      <w:pPr>
        <w:spacing w:before="200"/>
        <w:jc w:val="both"/>
        <w:rPr>
          <w:rFonts w:ascii="Times New Roman" w:hAnsi="Times New Roman" w:cs="Times New Roman"/>
          <w:sz w:val="20"/>
        </w:rPr>
      </w:pPr>
      <w:r w:rsidRPr="00B30321">
        <w:rPr>
          <w:rFonts w:ascii="Times New Roman" w:hAnsi="Times New Roman" w:cs="Times New Roman"/>
          <w:b/>
          <w:i/>
          <w:sz w:val="20"/>
        </w:rPr>
        <w:t xml:space="preserve">We </w:t>
      </w:r>
      <w:r w:rsidRPr="00B30321">
        <w:rPr>
          <w:rFonts w:ascii="Times New Roman" w:hAnsi="Times New Roman" w:cs="Times New Roman"/>
          <w:b/>
          <w:i/>
          <w:sz w:val="20"/>
        </w:rPr>
        <w:t>will call you back</w:t>
      </w:r>
      <w:r w:rsidRPr="00B30321">
        <w:rPr>
          <w:rFonts w:ascii="Times New Roman" w:hAnsi="Times New Roman" w:cs="Times New Roman"/>
          <w:b/>
          <w:i/>
          <w:sz w:val="20"/>
        </w:rPr>
        <w:t>:</w:t>
      </w:r>
      <w:r w:rsidRPr="00B30321">
        <w:rPr>
          <w:rFonts w:ascii="Times New Roman" w:hAnsi="Times New Roman" w:cs="Times New Roman"/>
          <w:sz w:val="20"/>
        </w:rPr>
        <w:t xml:space="preserve"> 14 courts told the caller that they will call back later. While three of these courts didn’t return the call, the rest of them called back to share what they have found</w:t>
      </w:r>
      <w:r>
        <w:rPr>
          <w:rFonts w:ascii="Times New Roman" w:hAnsi="Times New Roman" w:cs="Times New Roman"/>
          <w:sz w:val="20"/>
        </w:rPr>
        <w:t xml:space="preserve"> </w:t>
      </w:r>
      <w:r w:rsidRPr="00B30321">
        <w:rPr>
          <w:rFonts w:ascii="Times New Roman" w:hAnsi="Times New Roman" w:cs="Times New Roman"/>
          <w:sz w:val="20"/>
        </w:rPr>
        <w:t>about the process. Some callers in this category called back to give moral advice, actively trying to steer the minor away from getting an abortion.</w:t>
      </w:r>
    </w:p>
    <w:p w:rsidR="00B30321" w:rsidRDefault="00B30321" w:rsidP="00B30321">
      <w:pPr>
        <w:spacing w:before="200"/>
        <w:jc w:val="center"/>
        <w:rPr>
          <w:rFonts w:ascii="Times New Roman" w:hAnsi="Times New Roman" w:cs="Times New Roman"/>
          <w:sz w:val="20"/>
        </w:rPr>
      </w:pPr>
      <w:r>
        <w:rPr>
          <w:rFonts w:ascii="Times New Roman" w:hAnsi="Times New Roman" w:cs="Times New Roman"/>
          <w:noProof/>
          <w:sz w:val="20"/>
        </w:rPr>
        <w:drawing>
          <wp:inline distT="0" distB="0" distL="0" distR="0">
            <wp:extent cx="4150581" cy="1892411"/>
            <wp:effectExtent l="0" t="0" r="2540" b="0"/>
            <wp:docPr id="38" name="Picture 38" descr="C:\Users\swetha-s\Downloads\SWETHA\May 2023\29-05-2023\Reproductive Health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wetha-s\Downloads\SWETHA\May 2023\29-05-2023\Reproductive Health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47807" cy="1891146"/>
                    </a:xfrm>
                    <a:prstGeom prst="rect">
                      <a:avLst/>
                    </a:prstGeom>
                    <a:noFill/>
                    <a:ln>
                      <a:noFill/>
                    </a:ln>
                  </pic:spPr>
                </pic:pic>
              </a:graphicData>
            </a:graphic>
          </wp:inline>
        </w:drawing>
      </w:r>
    </w:p>
    <w:p w:rsidR="00B30321" w:rsidRDefault="00B30321" w:rsidP="00B30321">
      <w:pPr>
        <w:spacing w:before="200"/>
        <w:jc w:val="center"/>
        <w:rPr>
          <w:rFonts w:ascii="Times New Roman" w:hAnsi="Times New Roman" w:cs="Times New Roman"/>
          <w:i/>
          <w:sz w:val="18"/>
        </w:rPr>
      </w:pPr>
      <w:commentRangeStart w:id="0"/>
      <w:proofErr w:type="gramStart"/>
      <w:r w:rsidRPr="00B30321">
        <w:rPr>
          <w:rFonts w:ascii="Times New Roman" w:hAnsi="Times New Roman" w:cs="Times New Roman"/>
          <w:b/>
          <w:i/>
          <w:sz w:val="18"/>
        </w:rPr>
        <w:t>Figure 1.</w:t>
      </w:r>
      <w:proofErr w:type="gramEnd"/>
      <w:r w:rsidRPr="00B30321">
        <w:rPr>
          <w:rFonts w:ascii="Times New Roman" w:hAnsi="Times New Roman" w:cs="Times New Roman"/>
          <w:i/>
          <w:sz w:val="18"/>
        </w:rPr>
        <w:t xml:space="preserve"> Court scores according to Rubric.</w:t>
      </w:r>
      <w:commentRangeEnd w:id="0"/>
      <w:r w:rsidR="00804504">
        <w:rPr>
          <w:rStyle w:val="CommentReference"/>
        </w:rPr>
        <w:commentReference w:id="0"/>
      </w:r>
    </w:p>
    <w:p w:rsidR="00B30321" w:rsidRDefault="00B30321" w:rsidP="00B30321">
      <w:pPr>
        <w:spacing w:before="200"/>
        <w:jc w:val="both"/>
        <w:rPr>
          <w:rFonts w:ascii="Times New Roman" w:hAnsi="Times New Roman" w:cs="Times New Roman"/>
          <w:sz w:val="20"/>
        </w:rPr>
      </w:pPr>
      <w:r w:rsidRPr="00B30321">
        <w:rPr>
          <w:rFonts w:ascii="Times New Roman" w:hAnsi="Times New Roman" w:cs="Times New Roman"/>
          <w:b/>
          <w:sz w:val="20"/>
        </w:rPr>
        <w:t>Conclusions:</w:t>
      </w:r>
      <w:r>
        <w:rPr>
          <w:rFonts w:ascii="Times New Roman" w:hAnsi="Times New Roman" w:cs="Times New Roman"/>
          <w:sz w:val="20"/>
        </w:rPr>
        <w:t xml:space="preserve"> </w:t>
      </w:r>
      <w:r w:rsidRPr="00B30321">
        <w:rPr>
          <w:rFonts w:ascii="Times New Roman" w:hAnsi="Times New Roman" w:cs="Times New Roman"/>
          <w:sz w:val="20"/>
        </w:rPr>
        <w:t>This study, which acts as a continuation of</w:t>
      </w:r>
      <w:r>
        <w:rPr>
          <w:rFonts w:ascii="Times New Roman" w:hAnsi="Times New Roman" w:cs="Times New Roman"/>
          <w:sz w:val="20"/>
        </w:rPr>
        <w:t xml:space="preserve"> </w:t>
      </w:r>
      <w:proofErr w:type="spellStart"/>
      <w:r w:rsidRPr="00B30321">
        <w:rPr>
          <w:rFonts w:ascii="Times New Roman" w:hAnsi="Times New Roman" w:cs="Times New Roman"/>
          <w:sz w:val="20"/>
        </w:rPr>
        <w:t>Choudhury’s</w:t>
      </w:r>
      <w:proofErr w:type="spellEnd"/>
      <w:r w:rsidRPr="00B30321">
        <w:rPr>
          <w:rFonts w:ascii="Times New Roman" w:hAnsi="Times New Roman" w:cs="Times New Roman"/>
          <w:sz w:val="20"/>
        </w:rPr>
        <w:t xml:space="preserve"> 2009 paper, examines Missouri’s</w:t>
      </w:r>
      <w:r>
        <w:rPr>
          <w:rFonts w:ascii="Times New Roman" w:hAnsi="Times New Roman" w:cs="Times New Roman"/>
          <w:sz w:val="20"/>
        </w:rPr>
        <w:t xml:space="preserve"> </w:t>
      </w:r>
      <w:r w:rsidRPr="00B30321">
        <w:rPr>
          <w:rFonts w:ascii="Times New Roman" w:hAnsi="Times New Roman" w:cs="Times New Roman"/>
          <w:sz w:val="20"/>
        </w:rPr>
        <w:t>handling of judicial bypass information and</w:t>
      </w:r>
      <w:r>
        <w:rPr>
          <w:rFonts w:ascii="Times New Roman" w:hAnsi="Times New Roman" w:cs="Times New Roman"/>
          <w:sz w:val="20"/>
        </w:rPr>
        <w:t xml:space="preserve"> </w:t>
      </w:r>
      <w:r w:rsidRPr="00B30321">
        <w:rPr>
          <w:rFonts w:ascii="Times New Roman" w:hAnsi="Times New Roman" w:cs="Times New Roman"/>
          <w:sz w:val="20"/>
        </w:rPr>
        <w:t>protecting minors’ rights to obtain judicial bypasses.</w:t>
      </w:r>
    </w:p>
    <w:p w:rsidR="00B30321" w:rsidRDefault="00B30321" w:rsidP="00B30321">
      <w:pPr>
        <w:spacing w:before="200"/>
        <w:jc w:val="both"/>
        <w:rPr>
          <w:rFonts w:ascii="Times New Roman" w:hAnsi="Times New Roman" w:cs="Times New Roman"/>
          <w:sz w:val="20"/>
        </w:rPr>
      </w:pPr>
      <w:r w:rsidRPr="00B30321">
        <w:rPr>
          <w:rFonts w:ascii="Times New Roman" w:hAnsi="Times New Roman" w:cs="Times New Roman"/>
          <w:sz w:val="20"/>
        </w:rPr>
        <w:t>Results gathered from this study show the inaccessibility of judicial bypasses. None of the</w:t>
      </w:r>
      <w:r w:rsidRPr="00B30321">
        <w:t xml:space="preserve"> </w:t>
      </w:r>
      <w:r w:rsidRPr="00B30321">
        <w:rPr>
          <w:rFonts w:ascii="Times New Roman" w:hAnsi="Times New Roman" w:cs="Times New Roman"/>
          <w:sz w:val="20"/>
        </w:rPr>
        <w:t>counties we called were able to provide all the</w:t>
      </w:r>
      <w:r>
        <w:rPr>
          <w:rFonts w:ascii="Times New Roman" w:hAnsi="Times New Roman" w:cs="Times New Roman"/>
          <w:sz w:val="20"/>
        </w:rPr>
        <w:t xml:space="preserve"> </w:t>
      </w:r>
      <w:r w:rsidRPr="00B30321">
        <w:rPr>
          <w:rFonts w:ascii="Times New Roman" w:hAnsi="Times New Roman" w:cs="Times New Roman"/>
          <w:sz w:val="20"/>
        </w:rPr>
        <w:t xml:space="preserve">information required to prepare a minor for a judicial bypass hearing. This unfortunate outcome shows that the judicial bypass option does not protect minors’ reproductive freedom or rights and is, in the state of Missouri, </w:t>
      </w:r>
      <w:r>
        <w:rPr>
          <w:rFonts w:ascii="Times New Roman" w:hAnsi="Times New Roman" w:cs="Times New Roman"/>
          <w:sz w:val="20"/>
        </w:rPr>
        <w:t>almost completely inaccessible.</w:t>
      </w:r>
    </w:p>
    <w:p w:rsidR="00B30321" w:rsidRDefault="00B30321" w:rsidP="00B30321">
      <w:pPr>
        <w:spacing w:before="200"/>
        <w:jc w:val="both"/>
        <w:rPr>
          <w:rFonts w:ascii="Times New Roman" w:hAnsi="Times New Roman" w:cs="Times New Roman"/>
          <w:sz w:val="20"/>
        </w:rPr>
      </w:pPr>
      <w:r w:rsidRPr="00B30321">
        <w:rPr>
          <w:rFonts w:ascii="Times New Roman" w:hAnsi="Times New Roman" w:cs="Times New Roman"/>
          <w:sz w:val="20"/>
        </w:rPr>
        <w:t xml:space="preserve">The current laws in place do not provide a safe environment for Missouri minors, and instead compromise safety for minors who want to use their constitutional right to not include their parents or guardians in their decision to terminate their pregnancies. Unless better information is </w:t>
      </w:r>
      <w:bookmarkStart w:id="1" w:name="_GoBack"/>
      <w:bookmarkEnd w:id="1"/>
      <w:r w:rsidRPr="00B30321">
        <w:rPr>
          <w:rFonts w:ascii="Times New Roman" w:hAnsi="Times New Roman" w:cs="Times New Roman"/>
          <w:sz w:val="20"/>
        </w:rPr>
        <w:t>circulated by the courts themselves, the Missouri law will remain an unnecessary burden to the young population of the state of Missouri.</w:t>
      </w:r>
    </w:p>
    <w:p w:rsidR="00B30321" w:rsidRPr="00B30321" w:rsidRDefault="00B30321" w:rsidP="00B30321">
      <w:pPr>
        <w:spacing w:before="200"/>
        <w:rPr>
          <w:rFonts w:ascii="Times New Roman" w:hAnsi="Times New Roman" w:cs="Times New Roman"/>
          <w:b/>
          <w:sz w:val="24"/>
        </w:rPr>
      </w:pPr>
      <w:commentRangeStart w:id="2"/>
      <w:r w:rsidRPr="00B30321">
        <w:rPr>
          <w:rFonts w:ascii="Times New Roman" w:hAnsi="Times New Roman" w:cs="Times New Roman"/>
          <w:b/>
          <w:sz w:val="24"/>
        </w:rPr>
        <w:t>Biography</w:t>
      </w:r>
      <w:commentRangeEnd w:id="2"/>
      <w:r w:rsidR="00804504">
        <w:rPr>
          <w:rStyle w:val="CommentReference"/>
        </w:rPr>
        <w:commentReference w:id="2"/>
      </w:r>
    </w:p>
    <w:sectPr w:rsidR="00B30321" w:rsidRPr="00B303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29T17:32:00Z" w:initials="SS">
    <w:p w:rsidR="00804504" w:rsidRDefault="00804504">
      <w:pPr>
        <w:pStyle w:val="CommentText"/>
      </w:pPr>
      <w:r>
        <w:rPr>
          <w:rStyle w:val="CommentReference"/>
        </w:rPr>
        <w:annotationRef/>
      </w:r>
      <w:r>
        <w:t>Cite figure in the abstract content</w:t>
      </w:r>
      <w:proofErr w:type="gramStart"/>
      <w:r>
        <w:t>..</w:t>
      </w:r>
      <w:proofErr w:type="gramEnd"/>
    </w:p>
  </w:comment>
  <w:comment w:id="2" w:author="Swetha Sandala" w:date="2023-05-29T17:33:00Z" w:initials="SS">
    <w:p w:rsidR="00804504" w:rsidRDefault="0080450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5D4"/>
    <w:rsid w:val="0032354D"/>
    <w:rsid w:val="00474203"/>
    <w:rsid w:val="00535872"/>
    <w:rsid w:val="007115D4"/>
    <w:rsid w:val="00804504"/>
    <w:rsid w:val="00924B33"/>
    <w:rsid w:val="00B274CF"/>
    <w:rsid w:val="00B30321"/>
    <w:rsid w:val="00DA0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15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27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4CF"/>
    <w:rPr>
      <w:rFonts w:ascii="Tahoma" w:hAnsi="Tahoma" w:cs="Tahoma"/>
      <w:sz w:val="16"/>
      <w:szCs w:val="16"/>
    </w:rPr>
  </w:style>
  <w:style w:type="character" w:styleId="CommentReference">
    <w:name w:val="annotation reference"/>
    <w:basedOn w:val="DefaultParagraphFont"/>
    <w:uiPriority w:val="99"/>
    <w:semiHidden/>
    <w:unhideWhenUsed/>
    <w:rsid w:val="00804504"/>
    <w:rPr>
      <w:sz w:val="16"/>
      <w:szCs w:val="16"/>
    </w:rPr>
  </w:style>
  <w:style w:type="paragraph" w:styleId="CommentText">
    <w:name w:val="annotation text"/>
    <w:basedOn w:val="Normal"/>
    <w:link w:val="CommentTextChar"/>
    <w:uiPriority w:val="99"/>
    <w:semiHidden/>
    <w:unhideWhenUsed/>
    <w:rsid w:val="00804504"/>
    <w:pPr>
      <w:spacing w:line="240" w:lineRule="auto"/>
    </w:pPr>
    <w:rPr>
      <w:sz w:val="20"/>
      <w:szCs w:val="20"/>
    </w:rPr>
  </w:style>
  <w:style w:type="character" w:customStyle="1" w:styleId="CommentTextChar">
    <w:name w:val="Comment Text Char"/>
    <w:basedOn w:val="DefaultParagraphFont"/>
    <w:link w:val="CommentText"/>
    <w:uiPriority w:val="99"/>
    <w:semiHidden/>
    <w:rsid w:val="00804504"/>
    <w:rPr>
      <w:sz w:val="20"/>
      <w:szCs w:val="20"/>
    </w:rPr>
  </w:style>
  <w:style w:type="paragraph" w:styleId="CommentSubject">
    <w:name w:val="annotation subject"/>
    <w:basedOn w:val="CommentText"/>
    <w:next w:val="CommentText"/>
    <w:link w:val="CommentSubjectChar"/>
    <w:uiPriority w:val="99"/>
    <w:semiHidden/>
    <w:unhideWhenUsed/>
    <w:rsid w:val="00804504"/>
    <w:rPr>
      <w:b/>
      <w:bCs/>
    </w:rPr>
  </w:style>
  <w:style w:type="character" w:customStyle="1" w:styleId="CommentSubjectChar">
    <w:name w:val="Comment Subject Char"/>
    <w:basedOn w:val="CommentTextChar"/>
    <w:link w:val="CommentSubject"/>
    <w:uiPriority w:val="99"/>
    <w:semiHidden/>
    <w:rsid w:val="0080450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15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27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4CF"/>
    <w:rPr>
      <w:rFonts w:ascii="Tahoma" w:hAnsi="Tahoma" w:cs="Tahoma"/>
      <w:sz w:val="16"/>
      <w:szCs w:val="16"/>
    </w:rPr>
  </w:style>
  <w:style w:type="character" w:styleId="CommentReference">
    <w:name w:val="annotation reference"/>
    <w:basedOn w:val="DefaultParagraphFont"/>
    <w:uiPriority w:val="99"/>
    <w:semiHidden/>
    <w:unhideWhenUsed/>
    <w:rsid w:val="00804504"/>
    <w:rPr>
      <w:sz w:val="16"/>
      <w:szCs w:val="16"/>
    </w:rPr>
  </w:style>
  <w:style w:type="paragraph" w:styleId="CommentText">
    <w:name w:val="annotation text"/>
    <w:basedOn w:val="Normal"/>
    <w:link w:val="CommentTextChar"/>
    <w:uiPriority w:val="99"/>
    <w:semiHidden/>
    <w:unhideWhenUsed/>
    <w:rsid w:val="00804504"/>
    <w:pPr>
      <w:spacing w:line="240" w:lineRule="auto"/>
    </w:pPr>
    <w:rPr>
      <w:sz w:val="20"/>
      <w:szCs w:val="20"/>
    </w:rPr>
  </w:style>
  <w:style w:type="character" w:customStyle="1" w:styleId="CommentTextChar">
    <w:name w:val="Comment Text Char"/>
    <w:basedOn w:val="DefaultParagraphFont"/>
    <w:link w:val="CommentText"/>
    <w:uiPriority w:val="99"/>
    <w:semiHidden/>
    <w:rsid w:val="00804504"/>
    <w:rPr>
      <w:sz w:val="20"/>
      <w:szCs w:val="20"/>
    </w:rPr>
  </w:style>
  <w:style w:type="paragraph" w:styleId="CommentSubject">
    <w:name w:val="annotation subject"/>
    <w:basedOn w:val="CommentText"/>
    <w:next w:val="CommentText"/>
    <w:link w:val="CommentSubjectChar"/>
    <w:uiPriority w:val="99"/>
    <w:semiHidden/>
    <w:unhideWhenUsed/>
    <w:rsid w:val="00804504"/>
    <w:rPr>
      <w:b/>
      <w:bCs/>
    </w:rPr>
  </w:style>
  <w:style w:type="character" w:customStyle="1" w:styleId="CommentSubjectChar">
    <w:name w:val="Comment Subject Char"/>
    <w:basedOn w:val="CommentTextChar"/>
    <w:link w:val="CommentSubject"/>
    <w:uiPriority w:val="99"/>
    <w:semiHidden/>
    <w:rsid w:val="008045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2023-05-29T11:02:00Z</dcterms:created>
  <dcterms:modified xsi:type="dcterms:W3CDTF">2023-05-29T12:04:00Z</dcterms:modified>
</cp:coreProperties>
</file>