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A2345">
      <w:pPr>
        <w:rPr>
          <w:rFonts w:ascii="Times New Roman" w:hAnsi="Times New Roman" w:cs="Times New Roman"/>
          <w:b/>
          <w:sz w:val="32"/>
        </w:rPr>
      </w:pPr>
      <w:r w:rsidRPr="004A2345">
        <w:rPr>
          <w:rFonts w:ascii="Times New Roman" w:hAnsi="Times New Roman" w:cs="Times New Roman"/>
          <w:b/>
          <w:sz w:val="32"/>
        </w:rPr>
        <w:t>Ocular surface mucosal immunology in ocular graft-</w:t>
      </w:r>
      <w:r w:rsidRPr="004A2345">
        <w:rPr>
          <w:rFonts w:ascii="Times New Roman" w:hAnsi="Times New Roman" w:cs="Times New Roman"/>
          <w:b/>
          <w:i/>
          <w:sz w:val="32"/>
        </w:rPr>
        <w:t>versus</w:t>
      </w:r>
      <w:r w:rsidRPr="004A2345">
        <w:rPr>
          <w:rFonts w:ascii="Times New Roman" w:hAnsi="Times New Roman" w:cs="Times New Roman"/>
          <w:b/>
          <w:sz w:val="32"/>
        </w:rPr>
        <w:t>-host disease and its clinical implication</w:t>
      </w:r>
    </w:p>
    <w:p w:rsidR="004A2345" w:rsidRDefault="004A2345">
      <w:pPr>
        <w:rPr>
          <w:rFonts w:ascii="Times New Roman" w:hAnsi="Times New Roman" w:cs="Times New Roman"/>
          <w:sz w:val="24"/>
        </w:rPr>
      </w:pPr>
      <w:r w:rsidRPr="004A2345">
        <w:rPr>
          <w:rFonts w:ascii="Times New Roman" w:hAnsi="Times New Roman" w:cs="Times New Roman"/>
          <w:sz w:val="24"/>
        </w:rPr>
        <w:t>Yoko Ogawa</w:t>
      </w:r>
    </w:p>
    <w:p w:rsidR="004A2345" w:rsidRPr="004A2345" w:rsidRDefault="004A2345">
      <w:pPr>
        <w:rPr>
          <w:rFonts w:ascii="Times New Roman" w:hAnsi="Times New Roman" w:cs="Times New Roman"/>
        </w:rPr>
      </w:pPr>
      <w:r w:rsidRPr="004A2345">
        <w:rPr>
          <w:rFonts w:ascii="Times New Roman" w:hAnsi="Times New Roman" w:cs="Times New Roman"/>
        </w:rPr>
        <w:t>Keio University School of Medicine, Japan</w:t>
      </w:r>
    </w:p>
    <w:p w:rsidR="004A2345" w:rsidRPr="004A2345" w:rsidRDefault="004A2345" w:rsidP="004A2345">
      <w:pPr>
        <w:jc w:val="center"/>
        <w:rPr>
          <w:rFonts w:ascii="Times New Roman" w:hAnsi="Times New Roman" w:cs="Times New Roman"/>
          <w:b/>
          <w:sz w:val="24"/>
        </w:rPr>
      </w:pPr>
      <w:r w:rsidRPr="004A2345">
        <w:rPr>
          <w:rFonts w:ascii="Times New Roman" w:hAnsi="Times New Roman" w:cs="Times New Roman"/>
          <w:b/>
          <w:sz w:val="24"/>
        </w:rPr>
        <w:t>Abstract</w:t>
      </w:r>
    </w:p>
    <w:p w:rsidR="004A2345" w:rsidRDefault="004A2345" w:rsidP="004A2345">
      <w:pPr>
        <w:jc w:val="both"/>
        <w:rPr>
          <w:rFonts w:ascii="Times New Roman" w:hAnsi="Times New Roman" w:cs="Times New Roman"/>
          <w:sz w:val="20"/>
        </w:rPr>
      </w:pPr>
      <w:r w:rsidRPr="004A2345">
        <w:rPr>
          <w:rFonts w:ascii="Times New Roman" w:hAnsi="Times New Roman" w:cs="Times New Roman"/>
          <w:sz w:val="20"/>
        </w:rPr>
        <w:t xml:space="preserve">Ocular GVHD-related inflammation and fibrosis can be an early sign of the onset and also affects the later stage for the long term for many recipients after HSCT as irreversible consequences. Pathogenic fibrosis by interacting between immune cells and </w:t>
      </w:r>
      <w:proofErr w:type="spellStart"/>
      <w:r w:rsidRPr="004A2345">
        <w:rPr>
          <w:rFonts w:ascii="Times New Roman" w:hAnsi="Times New Roman" w:cs="Times New Roman"/>
          <w:sz w:val="20"/>
        </w:rPr>
        <w:t>mesenchymal</w:t>
      </w:r>
      <w:proofErr w:type="spellEnd"/>
      <w:r w:rsidRPr="004A2345">
        <w:rPr>
          <w:rFonts w:ascii="Times New Roman" w:hAnsi="Times New Roman" w:cs="Times New Roman"/>
          <w:sz w:val="20"/>
        </w:rPr>
        <w:t xml:space="preserve"> cells leads to ocular surface deterioration including cornea, conjunctiva, </w:t>
      </w:r>
      <w:proofErr w:type="spellStart"/>
      <w:r w:rsidRPr="004A2345">
        <w:rPr>
          <w:rFonts w:ascii="Times New Roman" w:hAnsi="Times New Roman" w:cs="Times New Roman"/>
          <w:sz w:val="20"/>
        </w:rPr>
        <w:t>meibomian</w:t>
      </w:r>
      <w:proofErr w:type="spellEnd"/>
      <w:r w:rsidRPr="004A2345">
        <w:rPr>
          <w:rFonts w:ascii="Times New Roman" w:hAnsi="Times New Roman" w:cs="Times New Roman"/>
          <w:sz w:val="20"/>
        </w:rPr>
        <w:t xml:space="preserve"> glands and lacrimal glands, resulting in a special subtype of severe and intractable dry eye disease</w:t>
      </w:r>
      <w:r>
        <w:rPr>
          <w:rFonts w:ascii="Times New Roman" w:hAnsi="Times New Roman" w:cs="Times New Roman"/>
          <w:sz w:val="20"/>
        </w:rPr>
        <w:t xml:space="preserve"> [Figure 1]</w:t>
      </w:r>
      <w:r w:rsidRPr="004A2345">
        <w:rPr>
          <w:rFonts w:ascii="Times New Roman" w:hAnsi="Times New Roman" w:cs="Times New Roman"/>
          <w:sz w:val="20"/>
        </w:rPr>
        <w:t>. There are no approved topical medicat</w:t>
      </w:r>
      <w:bookmarkStart w:id="0" w:name="_GoBack"/>
      <w:bookmarkEnd w:id="0"/>
      <w:r w:rsidRPr="004A2345">
        <w:rPr>
          <w:rFonts w:ascii="Times New Roman" w:hAnsi="Times New Roman" w:cs="Times New Roman"/>
          <w:sz w:val="20"/>
        </w:rPr>
        <w:t xml:space="preserve">ions for severe immune-mediated fibrosis on the ocular surface at present time. We report various patterns on ocular surface fibrosis with ocular GVHD after long-term follow-up in patients after subsiding systemic </w:t>
      </w:r>
      <w:proofErr w:type="spellStart"/>
      <w:r w:rsidRPr="004A2345">
        <w:rPr>
          <w:rFonts w:ascii="Times New Roman" w:hAnsi="Times New Roman" w:cs="Times New Roman"/>
          <w:sz w:val="20"/>
        </w:rPr>
        <w:t>cGVHD</w:t>
      </w:r>
      <w:proofErr w:type="spellEnd"/>
      <w:r w:rsidRPr="004A2345">
        <w:rPr>
          <w:rFonts w:ascii="Times New Roman" w:hAnsi="Times New Roman" w:cs="Times New Roman"/>
          <w:sz w:val="20"/>
        </w:rPr>
        <w:t>. The timing of starting treatment on ocular GVHD is limited and very narrow window of opportunity. Therefore, proper diagnosis and treatment at early stage is important to prevent severe dry eye disease related to GVHD.</w:t>
      </w:r>
    </w:p>
    <w:p w:rsidR="004A2345" w:rsidRDefault="004A2345" w:rsidP="004A234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D6B8951">
            <wp:extent cx="2468880" cy="185356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8880" cy="1853565"/>
                    </a:xfrm>
                    <a:prstGeom prst="rect">
                      <a:avLst/>
                    </a:prstGeom>
                    <a:noFill/>
                  </pic:spPr>
                </pic:pic>
              </a:graphicData>
            </a:graphic>
          </wp:inline>
        </w:drawing>
      </w:r>
    </w:p>
    <w:p w:rsidR="004A2345" w:rsidRPr="004A2345" w:rsidRDefault="004A2345" w:rsidP="004A2345">
      <w:pPr>
        <w:jc w:val="center"/>
        <w:rPr>
          <w:rFonts w:ascii="Times New Roman" w:hAnsi="Times New Roman" w:cs="Times New Roman"/>
          <w:i/>
          <w:sz w:val="18"/>
        </w:rPr>
      </w:pPr>
      <w:proofErr w:type="gramStart"/>
      <w:r w:rsidRPr="004A2345">
        <w:rPr>
          <w:rFonts w:ascii="Times New Roman" w:hAnsi="Times New Roman" w:cs="Times New Roman"/>
          <w:b/>
          <w:i/>
          <w:sz w:val="18"/>
        </w:rPr>
        <w:t>Figure 1.</w:t>
      </w:r>
      <w:proofErr w:type="gramEnd"/>
      <w:r w:rsidRPr="004A2345">
        <w:rPr>
          <w:rFonts w:ascii="Times New Roman" w:hAnsi="Times New Roman" w:cs="Times New Roman"/>
          <w:i/>
          <w:sz w:val="18"/>
        </w:rPr>
        <w:t xml:space="preserve"> </w:t>
      </w:r>
      <w:proofErr w:type="gramStart"/>
      <w:r w:rsidRPr="004A2345">
        <w:rPr>
          <w:rFonts w:ascii="Times New Roman" w:hAnsi="Times New Roman" w:cs="Times New Roman"/>
          <w:i/>
          <w:sz w:val="18"/>
        </w:rPr>
        <w:t xml:space="preserve">Irregularity of lid margin and </w:t>
      </w:r>
      <w:proofErr w:type="spellStart"/>
      <w:r w:rsidRPr="004A2345">
        <w:rPr>
          <w:rFonts w:ascii="Times New Roman" w:hAnsi="Times New Roman" w:cs="Times New Roman"/>
          <w:i/>
          <w:sz w:val="18"/>
        </w:rPr>
        <w:t>conjunctivalization</w:t>
      </w:r>
      <w:proofErr w:type="spellEnd"/>
      <w:r w:rsidRPr="004A2345">
        <w:rPr>
          <w:rFonts w:ascii="Times New Roman" w:hAnsi="Times New Roman" w:cs="Times New Roman"/>
          <w:i/>
          <w:sz w:val="18"/>
        </w:rPr>
        <w:t xml:space="preserve"> from the </w:t>
      </w:r>
      <w:proofErr w:type="spellStart"/>
      <w:r w:rsidRPr="004A2345">
        <w:rPr>
          <w:rFonts w:ascii="Times New Roman" w:hAnsi="Times New Roman" w:cs="Times New Roman"/>
          <w:i/>
          <w:sz w:val="18"/>
        </w:rPr>
        <w:t>limbal</w:t>
      </w:r>
      <w:proofErr w:type="spellEnd"/>
      <w:r w:rsidRPr="004A2345">
        <w:rPr>
          <w:rFonts w:ascii="Times New Roman" w:hAnsi="Times New Roman" w:cs="Times New Roman"/>
          <w:i/>
          <w:sz w:val="18"/>
        </w:rPr>
        <w:t xml:space="preserve"> region.</w:t>
      </w:r>
      <w:proofErr w:type="gramEnd"/>
      <w:r w:rsidRPr="004A2345">
        <w:rPr>
          <w:rFonts w:ascii="Times New Roman" w:hAnsi="Times New Roman" w:cs="Times New Roman"/>
          <w:i/>
          <w:sz w:val="18"/>
        </w:rPr>
        <w:t xml:space="preserve"> Chronic diffuse abnormality accompanied with fibrotic changes seen of </w:t>
      </w:r>
      <w:proofErr w:type="spellStart"/>
      <w:r w:rsidRPr="004A2345">
        <w:rPr>
          <w:rFonts w:ascii="Times New Roman" w:hAnsi="Times New Roman" w:cs="Times New Roman"/>
          <w:i/>
          <w:sz w:val="18"/>
        </w:rPr>
        <w:t>meibomian</w:t>
      </w:r>
      <w:proofErr w:type="spellEnd"/>
      <w:r w:rsidRPr="004A2345">
        <w:rPr>
          <w:rFonts w:ascii="Times New Roman" w:hAnsi="Times New Roman" w:cs="Times New Roman"/>
          <w:i/>
          <w:sz w:val="18"/>
        </w:rPr>
        <w:t xml:space="preserve"> glands in eyelids. </w:t>
      </w:r>
      <w:proofErr w:type="spellStart"/>
      <w:r w:rsidRPr="004A2345">
        <w:rPr>
          <w:rFonts w:ascii="Times New Roman" w:hAnsi="Times New Roman" w:cs="Times New Roman"/>
          <w:i/>
          <w:sz w:val="18"/>
        </w:rPr>
        <w:t>Conjunctivalization</w:t>
      </w:r>
      <w:proofErr w:type="spellEnd"/>
      <w:r w:rsidRPr="004A2345">
        <w:rPr>
          <w:rFonts w:ascii="Times New Roman" w:hAnsi="Times New Roman" w:cs="Times New Roman"/>
          <w:i/>
          <w:sz w:val="18"/>
        </w:rPr>
        <w:t xml:space="preserve"> derived from multiple locations of the </w:t>
      </w:r>
      <w:proofErr w:type="spellStart"/>
      <w:r w:rsidRPr="004A2345">
        <w:rPr>
          <w:rFonts w:ascii="Times New Roman" w:hAnsi="Times New Roman" w:cs="Times New Roman"/>
          <w:i/>
          <w:sz w:val="18"/>
        </w:rPr>
        <w:t>limbal</w:t>
      </w:r>
      <w:proofErr w:type="spellEnd"/>
      <w:r w:rsidRPr="004A2345">
        <w:rPr>
          <w:rFonts w:ascii="Times New Roman" w:hAnsi="Times New Roman" w:cs="Times New Roman"/>
          <w:i/>
          <w:sz w:val="18"/>
        </w:rPr>
        <w:t xml:space="preserve"> region.</w:t>
      </w:r>
    </w:p>
    <w:p w:rsidR="004A2345" w:rsidRPr="004A2345" w:rsidRDefault="004A2345" w:rsidP="004A2345">
      <w:pPr>
        <w:rPr>
          <w:rFonts w:ascii="Times New Roman" w:hAnsi="Times New Roman" w:cs="Times New Roman"/>
          <w:b/>
          <w:sz w:val="24"/>
        </w:rPr>
      </w:pPr>
      <w:r w:rsidRPr="004A2345">
        <w:rPr>
          <w:rFonts w:ascii="Times New Roman" w:hAnsi="Times New Roman" w:cs="Times New Roman"/>
          <w:b/>
          <w:sz w:val="24"/>
        </w:rPr>
        <w:t xml:space="preserve">Biography </w:t>
      </w:r>
    </w:p>
    <w:p w:rsidR="004A2345" w:rsidRPr="004A2345" w:rsidRDefault="004A2345" w:rsidP="004A2345">
      <w:pPr>
        <w:jc w:val="both"/>
        <w:rPr>
          <w:rFonts w:ascii="Times New Roman" w:hAnsi="Times New Roman" w:cs="Times New Roman"/>
          <w:sz w:val="20"/>
        </w:rPr>
      </w:pPr>
      <w:r w:rsidRPr="004A2345">
        <w:rPr>
          <w:rFonts w:ascii="Times New Roman" w:hAnsi="Times New Roman" w:cs="Times New Roman"/>
          <w:sz w:val="20"/>
        </w:rPr>
        <w:t>Yoko Ogawa has her expertise in ocular graft-</w:t>
      </w:r>
      <w:r w:rsidRPr="00DE1D05">
        <w:rPr>
          <w:rFonts w:ascii="Times New Roman" w:hAnsi="Times New Roman" w:cs="Times New Roman"/>
          <w:i/>
          <w:sz w:val="20"/>
        </w:rPr>
        <w:t>versus</w:t>
      </w:r>
      <w:r w:rsidRPr="004A2345">
        <w:rPr>
          <w:rFonts w:ascii="Times New Roman" w:hAnsi="Times New Roman" w:cs="Times New Roman"/>
          <w:sz w:val="20"/>
        </w:rPr>
        <w:t>-host disease. Recent Research Topics: Fibrosis and chronic inflammation of organs are observed in systemic autoimmune disease and graft-</w:t>
      </w:r>
      <w:r w:rsidRPr="00DE1D05">
        <w:rPr>
          <w:rFonts w:ascii="Times New Roman" w:hAnsi="Times New Roman" w:cs="Times New Roman"/>
          <w:i/>
          <w:sz w:val="20"/>
        </w:rPr>
        <w:t>versus</w:t>
      </w:r>
      <w:r w:rsidRPr="004A2345">
        <w:rPr>
          <w:rFonts w:ascii="Times New Roman" w:hAnsi="Times New Roman" w:cs="Times New Roman"/>
          <w:sz w:val="20"/>
        </w:rPr>
        <w:t xml:space="preserve">-host disease after hematopoietic stem cell transplantation. Using a scleroderma mouse, we showed that transplantation of MHC compatible, minor antigen mismatched </w:t>
      </w:r>
      <w:r w:rsidRPr="004A2345">
        <w:rPr>
          <w:rFonts w:ascii="Times New Roman" w:hAnsi="Times New Roman" w:cs="Times New Roman"/>
          <w:sz w:val="20"/>
        </w:rPr>
        <w:t>Bone Marrow Stromal</w:t>
      </w:r>
      <w:r w:rsidRPr="004A2345">
        <w:rPr>
          <w:rFonts w:ascii="Times New Roman" w:hAnsi="Times New Roman" w:cs="Times New Roman"/>
          <w:sz w:val="20"/>
        </w:rPr>
        <w:t>/</w:t>
      </w:r>
      <w:r w:rsidRPr="004A2345">
        <w:rPr>
          <w:rFonts w:ascii="Times New Roman" w:hAnsi="Times New Roman" w:cs="Times New Roman"/>
          <w:sz w:val="20"/>
        </w:rPr>
        <w:t xml:space="preserve">Stem Cells </w:t>
      </w:r>
      <w:r w:rsidRPr="004A2345">
        <w:rPr>
          <w:rFonts w:ascii="Times New Roman" w:hAnsi="Times New Roman" w:cs="Times New Roman"/>
          <w:sz w:val="20"/>
        </w:rPr>
        <w:t>(BMSCs) play a role in the pathogenesis of fibrosis. In addition, we are investigating whether senescent cells including macrophages and other immune competent cells are involved in chronic ocular graft-</w:t>
      </w:r>
      <w:r w:rsidRPr="00DE1D05">
        <w:rPr>
          <w:rFonts w:ascii="Times New Roman" w:hAnsi="Times New Roman" w:cs="Times New Roman"/>
          <w:i/>
          <w:sz w:val="20"/>
        </w:rPr>
        <w:t>versus</w:t>
      </w:r>
      <w:r w:rsidRPr="004A2345">
        <w:rPr>
          <w:rFonts w:ascii="Times New Roman" w:hAnsi="Times New Roman" w:cs="Times New Roman"/>
          <w:sz w:val="20"/>
        </w:rPr>
        <w:t>-host disease as well as other immune-mediated diseases.</w:t>
      </w:r>
    </w:p>
    <w:sectPr w:rsidR="004A2345" w:rsidRPr="004A23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345"/>
    <w:rsid w:val="0032354D"/>
    <w:rsid w:val="00474203"/>
    <w:rsid w:val="004A2345"/>
    <w:rsid w:val="00535872"/>
    <w:rsid w:val="00924B33"/>
    <w:rsid w:val="00DE1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2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3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2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3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2023-05-25T09:05:00Z</dcterms:created>
  <dcterms:modified xsi:type="dcterms:W3CDTF">2023-05-25T09:18:00Z</dcterms:modified>
</cp:coreProperties>
</file>