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C0EF0">
      <w:pPr>
        <w:rPr>
          <w:rFonts w:ascii="Times New Roman" w:hAnsi="Times New Roman" w:cs="Times New Roman"/>
          <w:b/>
          <w:sz w:val="32"/>
        </w:rPr>
      </w:pPr>
      <w:r w:rsidRPr="006C0EF0">
        <w:rPr>
          <w:rFonts w:ascii="Times New Roman" w:hAnsi="Times New Roman" w:cs="Times New Roman"/>
          <w:b/>
          <w:sz w:val="32"/>
        </w:rPr>
        <w:t>Prognosis and prediction in cardiac amyloidosis by cardiac magnetic resonance imaging: A systematic review with meta-analysis</w:t>
      </w:r>
    </w:p>
    <w:p w:rsidR="006C0EF0" w:rsidRDefault="006C0EF0">
      <w:pPr>
        <w:rPr>
          <w:rFonts w:ascii="Times New Roman" w:hAnsi="Times New Roman" w:cs="Times New Roman"/>
          <w:sz w:val="24"/>
        </w:rPr>
      </w:pPr>
      <w:r w:rsidRPr="006C0EF0">
        <w:rPr>
          <w:rFonts w:ascii="Times New Roman" w:hAnsi="Times New Roman" w:cs="Times New Roman"/>
          <w:sz w:val="24"/>
        </w:rPr>
        <w:t>Paolo Boretto</w:t>
      </w:r>
      <w:r w:rsidRPr="006C0EF0">
        <w:rPr>
          <w:rFonts w:ascii="Times New Roman" w:hAnsi="Times New Roman" w:cs="Times New Roman"/>
          <w:sz w:val="24"/>
          <w:vertAlign w:val="superscript"/>
        </w:rPr>
        <w:t>1</w:t>
      </w:r>
      <w:r>
        <w:rPr>
          <w:rFonts w:ascii="Times New Roman" w:hAnsi="Times New Roman" w:cs="Times New Roman"/>
          <w:sz w:val="24"/>
        </w:rPr>
        <w:t xml:space="preserve">, </w:t>
      </w:r>
      <w:r w:rsidRPr="006C0EF0">
        <w:rPr>
          <w:rFonts w:ascii="Times New Roman" w:hAnsi="Times New Roman" w:cs="Times New Roman"/>
          <w:sz w:val="24"/>
        </w:rPr>
        <w:t>Neal H Patel</w:t>
      </w:r>
      <w:r w:rsidRPr="006C0EF0">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6C0EF0">
        <w:rPr>
          <w:rFonts w:ascii="Times New Roman" w:hAnsi="Times New Roman" w:cs="Times New Roman"/>
          <w:sz w:val="24"/>
        </w:rPr>
        <w:t>Keval</w:t>
      </w:r>
      <w:proofErr w:type="spellEnd"/>
      <w:r w:rsidRPr="006C0EF0">
        <w:rPr>
          <w:rFonts w:ascii="Times New Roman" w:hAnsi="Times New Roman" w:cs="Times New Roman"/>
          <w:sz w:val="24"/>
        </w:rPr>
        <w:t xml:space="preserve"> Patel</w:t>
      </w:r>
      <w:r w:rsidRPr="006C0EF0">
        <w:rPr>
          <w:rFonts w:ascii="Times New Roman" w:hAnsi="Times New Roman" w:cs="Times New Roman"/>
          <w:sz w:val="24"/>
          <w:vertAlign w:val="superscript"/>
        </w:rPr>
        <w:t>2</w:t>
      </w:r>
      <w:r>
        <w:rPr>
          <w:rFonts w:ascii="Times New Roman" w:hAnsi="Times New Roman" w:cs="Times New Roman"/>
          <w:sz w:val="24"/>
        </w:rPr>
        <w:t>*</w:t>
      </w:r>
    </w:p>
    <w:p w:rsidR="006C0EF0" w:rsidRPr="006C0EF0" w:rsidRDefault="006C0EF0" w:rsidP="006C0EF0">
      <w:pPr>
        <w:spacing w:after="0"/>
        <w:rPr>
          <w:rFonts w:ascii="Times New Roman" w:hAnsi="Times New Roman" w:cs="Times New Roman"/>
        </w:rPr>
      </w:pPr>
      <w:r w:rsidRPr="006C0EF0">
        <w:rPr>
          <w:rFonts w:ascii="Times New Roman" w:hAnsi="Times New Roman" w:cs="Times New Roman"/>
          <w:vertAlign w:val="superscript"/>
        </w:rPr>
        <w:t>1</w:t>
      </w:r>
      <w:r w:rsidRPr="006C0EF0">
        <w:rPr>
          <w:rFonts w:ascii="Times New Roman" w:hAnsi="Times New Roman" w:cs="Times New Roman"/>
        </w:rPr>
        <w:t>University of Turin, Italy</w:t>
      </w:r>
    </w:p>
    <w:p w:rsidR="006C0EF0" w:rsidRPr="006C0EF0" w:rsidRDefault="006C0EF0">
      <w:pPr>
        <w:rPr>
          <w:rFonts w:ascii="Times New Roman" w:hAnsi="Times New Roman" w:cs="Times New Roman"/>
        </w:rPr>
      </w:pPr>
      <w:r w:rsidRPr="006C0EF0">
        <w:rPr>
          <w:rFonts w:ascii="Times New Roman" w:hAnsi="Times New Roman" w:cs="Times New Roman"/>
          <w:vertAlign w:val="superscript"/>
        </w:rPr>
        <w:t>2</w:t>
      </w:r>
      <w:r w:rsidRPr="006C0EF0">
        <w:rPr>
          <w:rFonts w:ascii="Times New Roman" w:hAnsi="Times New Roman" w:cs="Times New Roman"/>
        </w:rPr>
        <w:t>UCL Medical School, London</w:t>
      </w:r>
    </w:p>
    <w:p w:rsidR="006C0EF0" w:rsidRPr="006C0EF0" w:rsidRDefault="006C0EF0" w:rsidP="006C0EF0">
      <w:pPr>
        <w:jc w:val="center"/>
        <w:rPr>
          <w:rFonts w:ascii="Times New Roman" w:hAnsi="Times New Roman" w:cs="Times New Roman"/>
          <w:b/>
          <w:sz w:val="24"/>
        </w:rPr>
      </w:pPr>
      <w:r w:rsidRPr="006C0EF0">
        <w:rPr>
          <w:rFonts w:ascii="Times New Roman" w:hAnsi="Times New Roman" w:cs="Times New Roman"/>
          <w:b/>
          <w:sz w:val="24"/>
        </w:rPr>
        <w:t>Abstract</w:t>
      </w:r>
    </w:p>
    <w:p w:rsidR="006C0EF0" w:rsidRPr="006C0EF0" w:rsidRDefault="006C0EF0" w:rsidP="006C0EF0">
      <w:pPr>
        <w:jc w:val="both"/>
        <w:rPr>
          <w:rFonts w:ascii="Times New Roman" w:hAnsi="Times New Roman" w:cs="Times New Roman"/>
          <w:sz w:val="20"/>
        </w:rPr>
      </w:pPr>
      <w:r w:rsidRPr="006C0EF0">
        <w:rPr>
          <w:rFonts w:ascii="Times New Roman" w:hAnsi="Times New Roman" w:cs="Times New Roman"/>
          <w:b/>
          <w:sz w:val="20"/>
        </w:rPr>
        <w:t>Objective:</w:t>
      </w:r>
      <w:r w:rsidRPr="006C0EF0">
        <w:rPr>
          <w:rFonts w:ascii="Times New Roman" w:hAnsi="Times New Roman" w:cs="Times New Roman"/>
          <w:sz w:val="20"/>
        </w:rPr>
        <w:t xml:space="preserve"> </w:t>
      </w:r>
      <w:r w:rsidRPr="006C0EF0">
        <w:rPr>
          <w:rFonts w:ascii="Times New Roman" w:hAnsi="Times New Roman" w:cs="Times New Roman"/>
          <w:sz w:val="20"/>
        </w:rPr>
        <w:t>This meta-analysis aimed to assess the prog</w:t>
      </w:r>
      <w:bookmarkStart w:id="0" w:name="_GoBack"/>
      <w:bookmarkEnd w:id="0"/>
      <w:r w:rsidRPr="006C0EF0">
        <w:rPr>
          <w:rFonts w:ascii="Times New Roman" w:hAnsi="Times New Roman" w:cs="Times New Roman"/>
          <w:sz w:val="20"/>
        </w:rPr>
        <w:t xml:space="preserve">nostic role of CMR imaging modalities of left and right ventricle, including both anatomical and functional parameters in a large cohort of patients with AL and </w:t>
      </w:r>
      <w:proofErr w:type="spellStart"/>
      <w:r w:rsidRPr="006C0EF0">
        <w:rPr>
          <w:rFonts w:ascii="Times New Roman" w:hAnsi="Times New Roman" w:cs="Times New Roman"/>
          <w:sz w:val="20"/>
        </w:rPr>
        <w:t>aTTR</w:t>
      </w:r>
      <w:proofErr w:type="spellEnd"/>
      <w:r w:rsidRPr="006C0EF0">
        <w:rPr>
          <w:rFonts w:ascii="Times New Roman" w:hAnsi="Times New Roman" w:cs="Times New Roman"/>
          <w:sz w:val="20"/>
        </w:rPr>
        <w:t xml:space="preserve"> amyloidosis.</w:t>
      </w:r>
    </w:p>
    <w:p w:rsidR="006C0EF0" w:rsidRPr="006C0EF0" w:rsidRDefault="006C0EF0" w:rsidP="006C0EF0">
      <w:pPr>
        <w:jc w:val="both"/>
        <w:rPr>
          <w:rFonts w:ascii="Times New Roman" w:hAnsi="Times New Roman" w:cs="Times New Roman"/>
          <w:sz w:val="20"/>
        </w:rPr>
      </w:pPr>
      <w:r w:rsidRPr="006C0EF0">
        <w:rPr>
          <w:rFonts w:ascii="Times New Roman" w:hAnsi="Times New Roman" w:cs="Times New Roman"/>
          <w:b/>
          <w:sz w:val="20"/>
        </w:rPr>
        <w:t>Background:</w:t>
      </w:r>
      <w:r w:rsidRPr="006C0EF0">
        <w:rPr>
          <w:rFonts w:ascii="Times New Roman" w:hAnsi="Times New Roman" w:cs="Times New Roman"/>
          <w:sz w:val="20"/>
        </w:rPr>
        <w:t xml:space="preserve"> </w:t>
      </w:r>
      <w:r w:rsidRPr="006C0EF0">
        <w:rPr>
          <w:rFonts w:ascii="Times New Roman" w:hAnsi="Times New Roman" w:cs="Times New Roman"/>
          <w:sz w:val="20"/>
        </w:rPr>
        <w:t>Cardiac involvement is the foremost determinant of the clinical progression of amyloidosis. The diagnostic role of CMR in cardiac amyloidosis has been established, but the prognostic role of various right and left CMR parameters (including GLS, LGE and parametric mapping) are still to be delineated, with an undetermined evidence base.</w:t>
      </w:r>
    </w:p>
    <w:p w:rsidR="006C0EF0" w:rsidRPr="006C0EF0" w:rsidRDefault="006C0EF0" w:rsidP="006C0EF0">
      <w:pPr>
        <w:jc w:val="both"/>
        <w:rPr>
          <w:rFonts w:ascii="Times New Roman" w:hAnsi="Times New Roman" w:cs="Times New Roman"/>
          <w:sz w:val="20"/>
        </w:rPr>
      </w:pPr>
      <w:r w:rsidRPr="006C0EF0">
        <w:rPr>
          <w:rFonts w:ascii="Times New Roman" w:hAnsi="Times New Roman" w:cs="Times New Roman"/>
          <w:b/>
          <w:sz w:val="20"/>
        </w:rPr>
        <w:t>Methods:</w:t>
      </w:r>
      <w:r w:rsidRPr="006C0EF0">
        <w:rPr>
          <w:rFonts w:ascii="Times New Roman" w:hAnsi="Times New Roman" w:cs="Times New Roman"/>
          <w:sz w:val="20"/>
        </w:rPr>
        <w:t xml:space="preserve"> </w:t>
      </w:r>
      <w:r w:rsidRPr="006C0EF0">
        <w:rPr>
          <w:rFonts w:ascii="Times New Roman" w:hAnsi="Times New Roman" w:cs="Times New Roman"/>
          <w:sz w:val="20"/>
        </w:rPr>
        <w:t xml:space="preserve">We searched </w:t>
      </w:r>
      <w:proofErr w:type="spellStart"/>
      <w:r w:rsidRPr="006C0EF0">
        <w:rPr>
          <w:rFonts w:ascii="Times New Roman" w:hAnsi="Times New Roman" w:cs="Times New Roman"/>
          <w:sz w:val="20"/>
        </w:rPr>
        <w:t>Embase</w:t>
      </w:r>
      <w:proofErr w:type="spellEnd"/>
      <w:r w:rsidRPr="006C0EF0">
        <w:rPr>
          <w:rFonts w:ascii="Times New Roman" w:hAnsi="Times New Roman" w:cs="Times New Roman"/>
          <w:sz w:val="20"/>
        </w:rPr>
        <w:t xml:space="preserve">, </w:t>
      </w:r>
      <w:proofErr w:type="spellStart"/>
      <w:r w:rsidRPr="006C0EF0">
        <w:rPr>
          <w:rFonts w:ascii="Times New Roman" w:hAnsi="Times New Roman" w:cs="Times New Roman"/>
          <w:sz w:val="20"/>
        </w:rPr>
        <w:t>Pubmed</w:t>
      </w:r>
      <w:proofErr w:type="spellEnd"/>
      <w:r w:rsidRPr="006C0EF0">
        <w:rPr>
          <w:rFonts w:ascii="Times New Roman" w:hAnsi="Times New Roman" w:cs="Times New Roman"/>
          <w:sz w:val="20"/>
        </w:rPr>
        <w:t xml:space="preserve"> and MEDLINE for studies </w:t>
      </w:r>
      <w:proofErr w:type="spellStart"/>
      <w:r w:rsidRPr="006C0EF0">
        <w:rPr>
          <w:rFonts w:ascii="Times New Roman" w:hAnsi="Times New Roman" w:cs="Times New Roman"/>
          <w:sz w:val="20"/>
        </w:rPr>
        <w:t>analysing</w:t>
      </w:r>
      <w:proofErr w:type="spellEnd"/>
      <w:r w:rsidRPr="006C0EF0">
        <w:rPr>
          <w:rFonts w:ascii="Times New Roman" w:hAnsi="Times New Roman" w:cs="Times New Roman"/>
          <w:sz w:val="20"/>
        </w:rPr>
        <w:t xml:space="preserve"> the prognostic use of CMR imaging in patients with AL or </w:t>
      </w:r>
      <w:proofErr w:type="spellStart"/>
      <w:r w:rsidRPr="006C0EF0">
        <w:rPr>
          <w:rFonts w:ascii="Times New Roman" w:hAnsi="Times New Roman" w:cs="Times New Roman"/>
          <w:sz w:val="20"/>
        </w:rPr>
        <w:t>aTTR</w:t>
      </w:r>
      <w:proofErr w:type="spellEnd"/>
      <w:r w:rsidRPr="006C0EF0">
        <w:rPr>
          <w:rFonts w:ascii="Times New Roman" w:hAnsi="Times New Roman" w:cs="Times New Roman"/>
          <w:sz w:val="20"/>
        </w:rPr>
        <w:t xml:space="preserve"> cardiac amyloidosis. Primary endpoint of the study was all-cause mortality. A random effects model was used to calculate a pooled odds ratio using inverse-variance weighting.</w:t>
      </w:r>
    </w:p>
    <w:p w:rsidR="006C0EF0" w:rsidRDefault="006C0EF0" w:rsidP="006C0EF0">
      <w:pPr>
        <w:jc w:val="both"/>
        <w:rPr>
          <w:rFonts w:ascii="Times New Roman" w:hAnsi="Times New Roman" w:cs="Times New Roman"/>
          <w:sz w:val="20"/>
        </w:rPr>
      </w:pPr>
      <w:r w:rsidRPr="006C0EF0">
        <w:rPr>
          <w:rFonts w:ascii="Times New Roman" w:hAnsi="Times New Roman" w:cs="Times New Roman"/>
          <w:b/>
          <w:sz w:val="20"/>
        </w:rPr>
        <w:t>Results:</w:t>
      </w:r>
      <w:r w:rsidRPr="006C0EF0">
        <w:rPr>
          <w:rFonts w:ascii="Times New Roman" w:hAnsi="Times New Roman" w:cs="Times New Roman"/>
          <w:sz w:val="20"/>
        </w:rPr>
        <w:t xml:space="preserve"> </w:t>
      </w:r>
      <w:r w:rsidRPr="006C0EF0">
        <w:rPr>
          <w:rFonts w:ascii="Times New Roman" w:hAnsi="Times New Roman" w:cs="Times New Roman"/>
          <w:sz w:val="20"/>
        </w:rPr>
        <w:t xml:space="preserve">Our analysis included 19 studies with 2199 patients (66% males, median age: 59.7 years [IQR 58-67]). Median follow-up was 24 months [IQR 20-32], during which 40.8% of patients died. We found that both anatomical left heart parameters such </w:t>
      </w:r>
      <w:r>
        <w:rPr>
          <w:rFonts w:ascii="Times New Roman" w:hAnsi="Times New Roman" w:cs="Times New Roman"/>
          <w:sz w:val="20"/>
        </w:rPr>
        <w:t>as elevated ECV (HR 3.95 [3.01,</w:t>
      </w:r>
      <w:r w:rsidRPr="006C0EF0">
        <w:rPr>
          <w:rFonts w:ascii="Times New Roman" w:hAnsi="Times New Roman" w:cs="Times New Roman"/>
          <w:sz w:val="20"/>
        </w:rPr>
        <w:t>5.17]), exte</w:t>
      </w:r>
      <w:r>
        <w:rPr>
          <w:rFonts w:ascii="Times New Roman" w:hAnsi="Times New Roman" w:cs="Times New Roman"/>
          <w:sz w:val="20"/>
        </w:rPr>
        <w:t>nsion of LV LGE (HR 2.69 [2.07,</w:t>
      </w:r>
      <w:r w:rsidRPr="006C0EF0">
        <w:rPr>
          <w:rFonts w:ascii="Times New Roman" w:hAnsi="Times New Roman" w:cs="Times New Roman"/>
          <w:sz w:val="20"/>
        </w:rPr>
        <w:t xml:space="preserve">3.49]) elevated </w:t>
      </w:r>
      <w:r>
        <w:rPr>
          <w:rFonts w:ascii="Times New Roman" w:hAnsi="Times New Roman" w:cs="Times New Roman"/>
          <w:sz w:val="20"/>
        </w:rPr>
        <w:t>native T1 (HR 2.19 [95% CI 1.12</w:t>
      </w:r>
      <w:r w:rsidRPr="006C0EF0">
        <w:rPr>
          <w:rFonts w:ascii="Times New Roman" w:hAnsi="Times New Roman" w:cs="Times New Roman"/>
          <w:sz w:val="20"/>
        </w:rPr>
        <w:t>–4.28]) and functional parameters such as reduc</w:t>
      </w:r>
      <w:r>
        <w:rPr>
          <w:rFonts w:ascii="Times New Roman" w:hAnsi="Times New Roman" w:cs="Times New Roman"/>
          <w:sz w:val="20"/>
        </w:rPr>
        <w:t>ed LV GLS (HR 1.91 [95% CI 1.52-</w:t>
      </w:r>
      <w:r w:rsidRPr="006C0EF0">
        <w:rPr>
          <w:rFonts w:ascii="Times New Roman" w:hAnsi="Times New Roman" w:cs="Times New Roman"/>
          <w:sz w:val="20"/>
        </w:rPr>
        <w:t>2.41]) and reduced LVEF (HR 1.20 [95% CI 1.17</w:t>
      </w:r>
      <w:r>
        <w:rPr>
          <w:rFonts w:ascii="Times New Roman" w:hAnsi="Times New Roman" w:cs="Times New Roman"/>
          <w:sz w:val="20"/>
        </w:rPr>
        <w:t>-</w:t>
      </w:r>
      <w:r w:rsidRPr="006C0EF0">
        <w:rPr>
          <w:rFonts w:ascii="Times New Roman" w:hAnsi="Times New Roman" w:cs="Times New Roman"/>
          <w:sz w:val="20"/>
        </w:rPr>
        <w:t xml:space="preserve">1.23]) had increased HR for </w:t>
      </w:r>
      <w:r w:rsidRPr="006C0EF0">
        <w:rPr>
          <w:rFonts w:ascii="Times New Roman" w:hAnsi="Times New Roman" w:cs="Times New Roman"/>
          <w:sz w:val="20"/>
        </w:rPr>
        <w:t>all-cause</w:t>
      </w:r>
      <w:r w:rsidRPr="006C0EF0">
        <w:rPr>
          <w:rFonts w:ascii="Times New Roman" w:hAnsi="Times New Roman" w:cs="Times New Roman"/>
          <w:sz w:val="20"/>
        </w:rPr>
        <w:t xml:space="preserve"> mortality. Interestingly, alteration of right ventricular parameters such as RV GLS (HR 2</w:t>
      </w:r>
      <w:r>
        <w:rPr>
          <w:rFonts w:ascii="Times New Roman" w:hAnsi="Times New Roman" w:cs="Times New Roman"/>
          <w:sz w:val="20"/>
        </w:rPr>
        <w:t>.08 [95% CI 1.6–</w:t>
      </w:r>
      <w:r w:rsidRPr="006C0EF0">
        <w:rPr>
          <w:rFonts w:ascii="Times New Roman" w:hAnsi="Times New Roman" w:cs="Times New Roman"/>
          <w:sz w:val="20"/>
        </w:rPr>
        <w:t>2.69</w:t>
      </w:r>
      <w:r>
        <w:rPr>
          <w:rFonts w:ascii="Times New Roman" w:hAnsi="Times New Roman" w:cs="Times New Roman"/>
          <w:sz w:val="20"/>
        </w:rPr>
        <w:t>]), RV EF (HR 1.13 [95% CI 1.05–</w:t>
      </w:r>
      <w:r w:rsidRPr="006C0EF0">
        <w:rPr>
          <w:rFonts w:ascii="Times New Roman" w:hAnsi="Times New Roman" w:cs="Times New Roman"/>
          <w:sz w:val="20"/>
        </w:rPr>
        <w:t xml:space="preserve">1.22]) </w:t>
      </w:r>
      <w:r>
        <w:rPr>
          <w:rFonts w:ascii="Times New Roman" w:hAnsi="Times New Roman" w:cs="Times New Roman"/>
          <w:sz w:val="20"/>
        </w:rPr>
        <w:t>and TAPSE (HR 1.11 [95% CI 1.02</w:t>
      </w:r>
      <w:r w:rsidRPr="006C0EF0">
        <w:rPr>
          <w:rFonts w:ascii="Times New Roman" w:hAnsi="Times New Roman" w:cs="Times New Roman"/>
          <w:sz w:val="20"/>
        </w:rPr>
        <w:t xml:space="preserve">–1.21]) also had significantly increased HR for mortality, while presence </w:t>
      </w:r>
      <w:r>
        <w:rPr>
          <w:rFonts w:ascii="Times New Roman" w:hAnsi="Times New Roman" w:cs="Times New Roman"/>
          <w:sz w:val="20"/>
        </w:rPr>
        <w:t>of RV LGE (HR 3.40 [95% CI 0.51–</w:t>
      </w:r>
      <w:r w:rsidRPr="006C0EF0">
        <w:rPr>
          <w:rFonts w:ascii="Times New Roman" w:hAnsi="Times New Roman" w:cs="Times New Roman"/>
          <w:sz w:val="20"/>
        </w:rPr>
        <w:t>22.54]) was not significantly associated with adverse outcome</w:t>
      </w:r>
      <w:r w:rsidR="006A558A">
        <w:rPr>
          <w:rFonts w:ascii="Times New Roman" w:hAnsi="Times New Roman" w:cs="Times New Roman"/>
          <w:sz w:val="20"/>
        </w:rPr>
        <w:t xml:space="preserve"> [Figure 1]</w:t>
      </w:r>
      <w:r w:rsidRPr="006C0EF0">
        <w:rPr>
          <w:rFonts w:ascii="Times New Roman" w:hAnsi="Times New Roman" w:cs="Times New Roman"/>
          <w:sz w:val="20"/>
        </w:rPr>
        <w:t>.</w:t>
      </w:r>
    </w:p>
    <w:p w:rsidR="006A558A" w:rsidRDefault="006A558A" w:rsidP="006A558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1B29261">
            <wp:extent cx="3538330" cy="200372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9181" cy="2004210"/>
                    </a:xfrm>
                    <a:prstGeom prst="rect">
                      <a:avLst/>
                    </a:prstGeom>
                    <a:noFill/>
                  </pic:spPr>
                </pic:pic>
              </a:graphicData>
            </a:graphic>
          </wp:inline>
        </w:drawing>
      </w:r>
    </w:p>
    <w:p w:rsidR="006A558A" w:rsidRPr="006A558A" w:rsidRDefault="006A558A" w:rsidP="006A558A">
      <w:pPr>
        <w:jc w:val="center"/>
        <w:rPr>
          <w:rFonts w:ascii="Times New Roman" w:hAnsi="Times New Roman" w:cs="Times New Roman"/>
          <w:i/>
          <w:sz w:val="18"/>
        </w:rPr>
      </w:pPr>
      <w:proofErr w:type="gramStart"/>
      <w:r w:rsidRPr="006A558A">
        <w:rPr>
          <w:rFonts w:ascii="Times New Roman" w:hAnsi="Times New Roman" w:cs="Times New Roman"/>
          <w:b/>
          <w:i/>
          <w:sz w:val="18"/>
        </w:rPr>
        <w:t>Figure 1.</w:t>
      </w:r>
      <w:proofErr w:type="gramEnd"/>
      <w:r w:rsidRPr="006A558A">
        <w:rPr>
          <w:rFonts w:ascii="Times New Roman" w:hAnsi="Times New Roman" w:cs="Times New Roman"/>
          <w:b/>
          <w:i/>
          <w:sz w:val="18"/>
        </w:rPr>
        <w:t xml:space="preserve"> </w:t>
      </w:r>
      <w:proofErr w:type="gramStart"/>
      <w:r w:rsidRPr="006A558A">
        <w:rPr>
          <w:rFonts w:ascii="Times New Roman" w:hAnsi="Times New Roman" w:cs="Times New Roman"/>
          <w:i/>
          <w:sz w:val="18"/>
        </w:rPr>
        <w:t xml:space="preserve">Prognostic performance of CMR parameters in cardiac </w:t>
      </w:r>
      <w:proofErr w:type="spellStart"/>
      <w:r w:rsidRPr="006A558A">
        <w:rPr>
          <w:rFonts w:ascii="Times New Roman" w:hAnsi="Times New Roman" w:cs="Times New Roman"/>
          <w:i/>
          <w:sz w:val="18"/>
        </w:rPr>
        <w:t>amiloydosis</w:t>
      </w:r>
      <w:proofErr w:type="spellEnd"/>
      <w:r w:rsidRPr="006A558A">
        <w:rPr>
          <w:rFonts w:ascii="Times New Roman" w:hAnsi="Times New Roman" w:cs="Times New Roman"/>
          <w:i/>
          <w:sz w:val="18"/>
        </w:rPr>
        <w:t>.</w:t>
      </w:r>
      <w:proofErr w:type="gramEnd"/>
    </w:p>
    <w:p w:rsidR="006C0EF0" w:rsidRDefault="006C0EF0" w:rsidP="006C0EF0">
      <w:pPr>
        <w:jc w:val="both"/>
        <w:rPr>
          <w:rFonts w:ascii="Times New Roman" w:hAnsi="Times New Roman" w:cs="Times New Roman"/>
          <w:sz w:val="20"/>
        </w:rPr>
      </w:pPr>
      <w:r w:rsidRPr="006C0EF0">
        <w:rPr>
          <w:rFonts w:ascii="Times New Roman" w:hAnsi="Times New Roman" w:cs="Times New Roman"/>
          <w:b/>
          <w:sz w:val="20"/>
        </w:rPr>
        <w:lastRenderedPageBreak/>
        <w:t>Conclusions:</w:t>
      </w:r>
      <w:r w:rsidRPr="006C0EF0">
        <w:rPr>
          <w:rFonts w:ascii="Times New Roman" w:hAnsi="Times New Roman" w:cs="Times New Roman"/>
          <w:sz w:val="20"/>
        </w:rPr>
        <w:t xml:space="preserve"> </w:t>
      </w:r>
      <w:r w:rsidRPr="006C0EF0">
        <w:rPr>
          <w:rFonts w:ascii="Times New Roman" w:hAnsi="Times New Roman" w:cs="Times New Roman"/>
          <w:sz w:val="20"/>
        </w:rPr>
        <w:t>In this large meta-analysis, alterations of both functional and anatomical left ventricular and right ventricular parameters on CMR imaging are associated with increased risk of mortality in patients with cardiac amyloidosis.</w:t>
      </w:r>
    </w:p>
    <w:p w:rsidR="006C0EF0" w:rsidRPr="006C0EF0" w:rsidRDefault="006C0EF0" w:rsidP="006C0EF0">
      <w:pPr>
        <w:rPr>
          <w:rFonts w:ascii="Times New Roman" w:hAnsi="Times New Roman" w:cs="Times New Roman"/>
          <w:b/>
          <w:sz w:val="24"/>
        </w:rPr>
      </w:pPr>
      <w:r w:rsidRPr="006C0EF0">
        <w:rPr>
          <w:rFonts w:ascii="Times New Roman" w:hAnsi="Times New Roman" w:cs="Times New Roman"/>
          <w:b/>
          <w:sz w:val="24"/>
        </w:rPr>
        <w:t>Biography</w:t>
      </w:r>
    </w:p>
    <w:p w:rsidR="006C0EF0" w:rsidRPr="006C0EF0" w:rsidRDefault="006C0EF0" w:rsidP="006C0EF0">
      <w:pPr>
        <w:jc w:val="both"/>
        <w:rPr>
          <w:rFonts w:ascii="Times New Roman" w:hAnsi="Times New Roman" w:cs="Times New Roman"/>
          <w:sz w:val="20"/>
        </w:rPr>
      </w:pPr>
      <w:r>
        <w:rPr>
          <w:rFonts w:ascii="Times New Roman" w:hAnsi="Times New Roman" w:cs="Times New Roman"/>
          <w:sz w:val="20"/>
        </w:rPr>
        <w:t xml:space="preserve">Neal H Patel and </w:t>
      </w:r>
      <w:proofErr w:type="spellStart"/>
      <w:r>
        <w:rPr>
          <w:rFonts w:ascii="Times New Roman" w:hAnsi="Times New Roman" w:cs="Times New Roman"/>
          <w:sz w:val="20"/>
        </w:rPr>
        <w:t>Keval</w:t>
      </w:r>
      <w:proofErr w:type="spellEnd"/>
      <w:r>
        <w:rPr>
          <w:rFonts w:ascii="Times New Roman" w:hAnsi="Times New Roman" w:cs="Times New Roman"/>
          <w:sz w:val="20"/>
        </w:rPr>
        <w:t xml:space="preserve"> Patel</w:t>
      </w:r>
      <w:r w:rsidRPr="006C0EF0">
        <w:rPr>
          <w:rFonts w:ascii="Times New Roman" w:hAnsi="Times New Roman" w:cs="Times New Roman"/>
          <w:sz w:val="20"/>
        </w:rPr>
        <w:t xml:space="preserve"> are final year medical students at UCL Medical School. They intercalated in Cardiovas</w:t>
      </w:r>
      <w:r>
        <w:rPr>
          <w:rFonts w:ascii="Times New Roman" w:hAnsi="Times New Roman" w:cs="Times New Roman"/>
          <w:sz w:val="20"/>
        </w:rPr>
        <w:t>cular Sciences during their 3</w:t>
      </w:r>
      <w:r w:rsidRPr="006C0EF0">
        <w:rPr>
          <w:rFonts w:ascii="Times New Roman" w:hAnsi="Times New Roman" w:cs="Times New Roman"/>
          <w:sz w:val="20"/>
          <w:vertAlign w:val="superscript"/>
        </w:rPr>
        <w:t>rd</w:t>
      </w:r>
      <w:r>
        <w:rPr>
          <w:rFonts w:ascii="Times New Roman" w:hAnsi="Times New Roman" w:cs="Times New Roman"/>
          <w:sz w:val="20"/>
        </w:rPr>
        <w:t xml:space="preserve"> </w:t>
      </w:r>
      <w:r w:rsidRPr="006C0EF0">
        <w:rPr>
          <w:rFonts w:ascii="Times New Roman" w:hAnsi="Times New Roman" w:cs="Times New Roman"/>
          <w:sz w:val="20"/>
        </w:rPr>
        <w:t xml:space="preserve">year of studies and formed a research group with Dr. Ahmad, a well published cardiologist who has a special interest in medical education and Meta-Analyses. </w:t>
      </w:r>
    </w:p>
    <w:sectPr w:rsidR="006C0EF0" w:rsidRPr="006C0E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EF0"/>
    <w:rsid w:val="0032354D"/>
    <w:rsid w:val="00474203"/>
    <w:rsid w:val="00535872"/>
    <w:rsid w:val="006A558A"/>
    <w:rsid w:val="006C0EF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5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2023-05-29T06:45:00Z</dcterms:created>
  <dcterms:modified xsi:type="dcterms:W3CDTF">2023-05-29T07:06:00Z</dcterms:modified>
</cp:coreProperties>
</file>