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71EBB">
      <w:pPr>
        <w:rPr>
          <w:rFonts w:ascii="Times New Roman" w:hAnsi="Times New Roman" w:cs="Times New Roman"/>
          <w:b/>
          <w:sz w:val="32"/>
        </w:rPr>
      </w:pPr>
      <w:bookmarkStart w:id="0" w:name="_GoBack"/>
      <w:r w:rsidRPr="00C71EBB">
        <w:rPr>
          <w:rFonts w:ascii="Times New Roman" w:hAnsi="Times New Roman" w:cs="Times New Roman"/>
          <w:b/>
          <w:sz w:val="32"/>
        </w:rPr>
        <w:t xml:space="preserve">Life satisfaction and academic engagement in Chileans </w:t>
      </w:r>
      <w:r>
        <w:rPr>
          <w:rFonts w:ascii="Times New Roman" w:hAnsi="Times New Roman" w:cs="Times New Roman"/>
          <w:b/>
          <w:sz w:val="32"/>
        </w:rPr>
        <w:t>u</w:t>
      </w:r>
      <w:r w:rsidRPr="00C71EBB">
        <w:rPr>
          <w:rFonts w:ascii="Times New Roman" w:hAnsi="Times New Roman" w:cs="Times New Roman"/>
          <w:b/>
          <w:sz w:val="32"/>
        </w:rPr>
        <w:t>ndergraduate students of the University of Atacama</w:t>
      </w:r>
    </w:p>
    <w:p w:rsidR="00C71EBB" w:rsidRDefault="00C71EBB">
      <w:pPr>
        <w:rPr>
          <w:rFonts w:ascii="Times New Roman" w:hAnsi="Times New Roman" w:cs="Times New Roman"/>
          <w:sz w:val="24"/>
        </w:rPr>
      </w:pPr>
      <w:r>
        <w:rPr>
          <w:rFonts w:ascii="Times New Roman" w:hAnsi="Times New Roman" w:cs="Times New Roman"/>
          <w:sz w:val="24"/>
        </w:rPr>
        <w:t xml:space="preserve">Carmen Burgos </w:t>
      </w:r>
      <w:proofErr w:type="spellStart"/>
      <w:r>
        <w:rPr>
          <w:rFonts w:ascii="Times New Roman" w:hAnsi="Times New Roman" w:cs="Times New Roman"/>
          <w:sz w:val="24"/>
        </w:rPr>
        <w:t>Videla</w:t>
      </w:r>
      <w:proofErr w:type="spellEnd"/>
      <w:r w:rsidRPr="00C71EBB">
        <w:rPr>
          <w:rFonts w:ascii="Times New Roman" w:hAnsi="Times New Roman" w:cs="Times New Roman"/>
          <w:sz w:val="24"/>
        </w:rPr>
        <w:t xml:space="preserve">* </w:t>
      </w:r>
      <w:r>
        <w:rPr>
          <w:rFonts w:ascii="Times New Roman" w:hAnsi="Times New Roman" w:cs="Times New Roman"/>
          <w:sz w:val="24"/>
        </w:rPr>
        <w:t xml:space="preserve">and </w:t>
      </w:r>
      <w:r w:rsidRPr="00C71EBB">
        <w:rPr>
          <w:rFonts w:ascii="Times New Roman" w:hAnsi="Times New Roman" w:cs="Times New Roman"/>
          <w:sz w:val="24"/>
        </w:rPr>
        <w:t xml:space="preserve">Ricardo </w:t>
      </w:r>
      <w:proofErr w:type="spellStart"/>
      <w:r w:rsidRPr="00C71EBB">
        <w:rPr>
          <w:rFonts w:ascii="Times New Roman" w:hAnsi="Times New Roman" w:cs="Times New Roman"/>
          <w:sz w:val="24"/>
        </w:rPr>
        <w:t>Jorquera</w:t>
      </w:r>
      <w:proofErr w:type="spellEnd"/>
    </w:p>
    <w:p w:rsidR="00C71EBB" w:rsidRPr="00C71EBB" w:rsidRDefault="00C71EBB">
      <w:pPr>
        <w:rPr>
          <w:rFonts w:ascii="Times New Roman" w:hAnsi="Times New Roman" w:cs="Times New Roman"/>
        </w:rPr>
      </w:pPr>
      <w:r w:rsidRPr="00C71EBB">
        <w:rPr>
          <w:rFonts w:ascii="Times New Roman" w:hAnsi="Times New Roman" w:cs="Times New Roman"/>
        </w:rPr>
        <w:t>University of Atacama, Chile</w:t>
      </w:r>
    </w:p>
    <w:p w:rsidR="00C71EBB" w:rsidRPr="00C71EBB" w:rsidRDefault="00C71EBB" w:rsidP="00C71EBB">
      <w:pPr>
        <w:jc w:val="center"/>
        <w:rPr>
          <w:rFonts w:ascii="Times New Roman" w:hAnsi="Times New Roman" w:cs="Times New Roman"/>
          <w:b/>
          <w:sz w:val="24"/>
        </w:rPr>
      </w:pPr>
      <w:r w:rsidRPr="00C71EBB">
        <w:rPr>
          <w:rFonts w:ascii="Times New Roman" w:hAnsi="Times New Roman" w:cs="Times New Roman"/>
          <w:b/>
          <w:sz w:val="24"/>
        </w:rPr>
        <w:t>Abstract</w:t>
      </w:r>
    </w:p>
    <w:p w:rsidR="00C71EBB" w:rsidRPr="00C71EBB" w:rsidRDefault="00C71EBB" w:rsidP="00C71EBB">
      <w:pPr>
        <w:jc w:val="both"/>
        <w:rPr>
          <w:rFonts w:ascii="Times New Roman" w:hAnsi="Times New Roman" w:cs="Times New Roman"/>
          <w:sz w:val="20"/>
        </w:rPr>
      </w:pPr>
      <w:r w:rsidRPr="00C71EBB">
        <w:rPr>
          <w:rFonts w:ascii="Times New Roman" w:hAnsi="Times New Roman" w:cs="Times New Roman"/>
          <w:b/>
          <w:sz w:val="20"/>
        </w:rPr>
        <w:t>Statement of the problem:</w:t>
      </w:r>
      <w:r w:rsidRPr="00C71EBB">
        <w:rPr>
          <w:rFonts w:ascii="Times New Roman" w:hAnsi="Times New Roman" w:cs="Times New Roman"/>
          <w:sz w:val="20"/>
        </w:rPr>
        <w:t xml:space="preserve"> The growing problem of mental health in the university population, as a consequence of the COVID-19 pandemic, has generated the need to consider positive variables to address this situation. Life satisfaction and academic engagement are two constructs that emerge as conceptual tools oriented in this direction. The present study sought to describe the effect of academic engagement on life satisfaction in a sample of Chilean university students. A cross-sectional co-relational design was used. A total of 370 university students participated, 72.4% female and 27.6% male, aged </w:t>
      </w:r>
      <w:proofErr w:type="spellStart"/>
      <w:r w:rsidRPr="00C71EBB">
        <w:rPr>
          <w:rFonts w:ascii="Times New Roman" w:hAnsi="Times New Roman" w:cs="Times New Roman"/>
          <w:sz w:val="20"/>
        </w:rPr>
        <w:t>beitive</w:t>
      </w:r>
      <w:proofErr w:type="spellEnd"/>
      <w:r w:rsidRPr="00C71EBB">
        <w:rPr>
          <w:rFonts w:ascii="Times New Roman" w:hAnsi="Times New Roman" w:cs="Times New Roman"/>
          <w:sz w:val="20"/>
        </w:rPr>
        <w:t xml:space="preserve"> effect of engagement on life satisfaction was demonstrated</w:t>
      </w:r>
      <w:r>
        <w:rPr>
          <w:rFonts w:ascii="Times New Roman" w:hAnsi="Times New Roman" w:cs="Times New Roman"/>
          <w:sz w:val="20"/>
        </w:rPr>
        <w:t>, where the dimensions vigor (β=0.462; p&lt;0.01) and dedication (β=0.465; p&lt;</w:t>
      </w:r>
      <w:r w:rsidRPr="00C71EBB">
        <w:rPr>
          <w:rFonts w:ascii="Times New Roman" w:hAnsi="Times New Roman" w:cs="Times New Roman"/>
          <w:sz w:val="20"/>
        </w:rPr>
        <w:t>0.01) acted as</w:t>
      </w:r>
      <w:r>
        <w:rPr>
          <w:rFonts w:ascii="Times New Roman" w:hAnsi="Times New Roman" w:cs="Times New Roman"/>
          <w:sz w:val="20"/>
        </w:rPr>
        <w:t xml:space="preserve"> significant predictors (χ2=87.077, </w:t>
      </w:r>
      <w:proofErr w:type="spellStart"/>
      <w:r>
        <w:rPr>
          <w:rFonts w:ascii="Times New Roman" w:hAnsi="Times New Roman" w:cs="Times New Roman"/>
          <w:sz w:val="20"/>
        </w:rPr>
        <w:t>gl</w:t>
      </w:r>
      <w:proofErr w:type="spellEnd"/>
      <w:r>
        <w:rPr>
          <w:rFonts w:ascii="Times New Roman" w:hAnsi="Times New Roman" w:cs="Times New Roman"/>
          <w:sz w:val="20"/>
        </w:rPr>
        <w:t>=32, p&lt;0.01; χ2/</w:t>
      </w:r>
      <w:proofErr w:type="spellStart"/>
      <w:r>
        <w:rPr>
          <w:rFonts w:ascii="Times New Roman" w:hAnsi="Times New Roman" w:cs="Times New Roman"/>
          <w:sz w:val="20"/>
        </w:rPr>
        <w:t>gl</w:t>
      </w:r>
      <w:proofErr w:type="spellEnd"/>
      <w:r>
        <w:rPr>
          <w:rFonts w:ascii="Times New Roman" w:hAnsi="Times New Roman" w:cs="Times New Roman"/>
          <w:sz w:val="20"/>
        </w:rPr>
        <w:t>=2.721; CFI=975; TLI=0.964; RMSEA=</w:t>
      </w:r>
      <w:r w:rsidRPr="00C71EBB">
        <w:rPr>
          <w:rFonts w:ascii="Times New Roman" w:hAnsi="Times New Roman" w:cs="Times New Roman"/>
          <w:sz w:val="20"/>
        </w:rPr>
        <w:t>0.068). The proposed model showed factorial invariance according to sex. The usefulness of employing these constructs as a way to manage the well-being and mental health of students in university institutions is discussed.</w:t>
      </w:r>
    </w:p>
    <w:p w:rsidR="00C71EBB" w:rsidRPr="00C71EBB" w:rsidRDefault="00C71EBB" w:rsidP="00C71EBB">
      <w:pPr>
        <w:jc w:val="both"/>
        <w:rPr>
          <w:rFonts w:ascii="Times New Roman" w:hAnsi="Times New Roman" w:cs="Times New Roman"/>
          <w:sz w:val="20"/>
        </w:rPr>
      </w:pPr>
      <w:r w:rsidRPr="00C71EBB">
        <w:rPr>
          <w:rFonts w:ascii="Times New Roman" w:hAnsi="Times New Roman" w:cs="Times New Roman"/>
          <w:b/>
          <w:sz w:val="20"/>
        </w:rPr>
        <w:t>Methodology &amp; theoretical orientation:</w:t>
      </w:r>
      <w:r w:rsidRPr="00C71EBB">
        <w:rPr>
          <w:rFonts w:ascii="Times New Roman" w:hAnsi="Times New Roman" w:cs="Times New Roman"/>
          <w:sz w:val="20"/>
        </w:rPr>
        <w:t xml:space="preserve"> The design used in this research was consistent with the objective of the study, which was to describe the effect of academic engagement on life satisfaction in Chilean university students from </w:t>
      </w:r>
      <w:proofErr w:type="spellStart"/>
      <w:r w:rsidRPr="00C71EBB">
        <w:rPr>
          <w:rFonts w:ascii="Times New Roman" w:hAnsi="Times New Roman" w:cs="Times New Roman"/>
          <w:sz w:val="20"/>
        </w:rPr>
        <w:t>Copiapó</w:t>
      </w:r>
      <w:proofErr w:type="spellEnd"/>
      <w:r w:rsidRPr="00C71EBB">
        <w:rPr>
          <w:rFonts w:ascii="Times New Roman" w:hAnsi="Times New Roman" w:cs="Times New Roman"/>
          <w:sz w:val="20"/>
        </w:rPr>
        <w:t>. For this purpose, non-experimental research of a cross-sectional correlational type was considered. It should be noted that in non-experimental research there is no deliberate manipulation of the var</w:t>
      </w:r>
      <w:r>
        <w:rPr>
          <w:rFonts w:ascii="Times New Roman" w:hAnsi="Times New Roman" w:cs="Times New Roman"/>
          <w:sz w:val="20"/>
        </w:rPr>
        <w:t>iables</w:t>
      </w:r>
      <w:r w:rsidRPr="00C71EBB">
        <w:rPr>
          <w:rFonts w:ascii="Times New Roman" w:hAnsi="Times New Roman" w:cs="Times New Roman"/>
          <w:sz w:val="20"/>
        </w:rPr>
        <w:t xml:space="preserve"> and the phenomena are only observed in their natural environment and then analyzed. On the other hand, the present research was cross-sectional–correlational, since a description of the study variables was sought by establishing the relationship between them at a single point in time.</w:t>
      </w:r>
    </w:p>
    <w:p w:rsidR="00C71EBB" w:rsidRPr="00C71EBB" w:rsidRDefault="00C71EBB" w:rsidP="00C71EBB">
      <w:pPr>
        <w:jc w:val="both"/>
        <w:rPr>
          <w:rFonts w:ascii="Times New Roman" w:hAnsi="Times New Roman" w:cs="Times New Roman"/>
          <w:sz w:val="20"/>
        </w:rPr>
      </w:pPr>
      <w:r w:rsidRPr="00C71EBB">
        <w:rPr>
          <w:rFonts w:ascii="Times New Roman" w:hAnsi="Times New Roman" w:cs="Times New Roman"/>
          <w:sz w:val="20"/>
        </w:rPr>
        <w:t>The stages were mainly based on a data analysis process and included the following:</w:t>
      </w:r>
    </w:p>
    <w:p w:rsidR="00C71EBB" w:rsidRPr="00C71EBB" w:rsidRDefault="00C71EBB" w:rsidP="00C71EBB">
      <w:pPr>
        <w:jc w:val="both"/>
        <w:rPr>
          <w:rFonts w:ascii="Times New Roman" w:hAnsi="Times New Roman" w:cs="Times New Roman"/>
          <w:b/>
          <w:i/>
          <w:sz w:val="20"/>
        </w:rPr>
      </w:pPr>
      <w:r w:rsidRPr="00C71EBB">
        <w:rPr>
          <w:rFonts w:ascii="Times New Roman" w:hAnsi="Times New Roman" w:cs="Times New Roman"/>
          <w:b/>
          <w:i/>
        </w:rPr>
        <w:t>Data preparation:</w:t>
      </w:r>
      <w:r w:rsidRPr="00C71EBB">
        <w:rPr>
          <w:rFonts w:ascii="Times New Roman" w:hAnsi="Times New Roman" w:cs="Times New Roman"/>
          <w:b/>
          <w:i/>
          <w:sz w:val="20"/>
        </w:rPr>
        <w:t xml:space="preserve"> </w:t>
      </w:r>
    </w:p>
    <w:p w:rsidR="00C71EBB" w:rsidRPr="00C71EBB" w:rsidRDefault="00C71EBB" w:rsidP="00C71EBB">
      <w:pPr>
        <w:jc w:val="both"/>
        <w:rPr>
          <w:rFonts w:ascii="Times New Roman" w:hAnsi="Times New Roman" w:cs="Times New Roman"/>
          <w:sz w:val="20"/>
        </w:rPr>
      </w:pPr>
      <w:r w:rsidRPr="00C71EBB">
        <w:rPr>
          <w:rFonts w:ascii="Times New Roman" w:hAnsi="Times New Roman" w:cs="Times New Roman"/>
          <w:sz w:val="20"/>
        </w:rPr>
        <w:t xml:space="preserve">At </w:t>
      </w:r>
      <w:r w:rsidRPr="00C71EBB">
        <w:rPr>
          <w:rFonts w:ascii="Times New Roman" w:hAnsi="Times New Roman" w:cs="Times New Roman"/>
          <w:sz w:val="20"/>
        </w:rPr>
        <w:t>this stage, a descriptive analysis of the data was carried out, in which basic statistics were obtained. Then, correlat</w:t>
      </w:r>
      <w:r w:rsidR="008E1718">
        <w:rPr>
          <w:rFonts w:ascii="Times New Roman" w:hAnsi="Times New Roman" w:cs="Times New Roman"/>
          <w:sz w:val="20"/>
        </w:rPr>
        <w:t>ional analyses were carried out</w:t>
      </w:r>
      <w:r w:rsidRPr="00C71EBB">
        <w:rPr>
          <w:rFonts w:ascii="Times New Roman" w:hAnsi="Times New Roman" w:cs="Times New Roman"/>
          <w:sz w:val="20"/>
        </w:rPr>
        <w:t xml:space="preserve"> and the proposed predictive model was verified using the AMOS 21 program.</w:t>
      </w:r>
    </w:p>
    <w:p w:rsidR="00C71EBB" w:rsidRPr="00C71EBB" w:rsidRDefault="00C71EBB" w:rsidP="00C71EBB">
      <w:pPr>
        <w:jc w:val="both"/>
        <w:rPr>
          <w:rFonts w:ascii="Times New Roman" w:hAnsi="Times New Roman" w:cs="Times New Roman"/>
          <w:b/>
          <w:i/>
          <w:sz w:val="20"/>
        </w:rPr>
      </w:pPr>
      <w:r w:rsidRPr="00C71EBB">
        <w:rPr>
          <w:rFonts w:ascii="Times New Roman" w:hAnsi="Times New Roman" w:cs="Times New Roman"/>
          <w:b/>
          <w:i/>
        </w:rPr>
        <w:t xml:space="preserve">Model generation and evaluation: </w:t>
      </w:r>
    </w:p>
    <w:p w:rsidR="00C71EBB" w:rsidRPr="00C71EBB" w:rsidRDefault="00C71EBB" w:rsidP="00C71EBB">
      <w:pPr>
        <w:jc w:val="both"/>
        <w:rPr>
          <w:rFonts w:ascii="Times New Roman" w:hAnsi="Times New Roman" w:cs="Times New Roman"/>
          <w:sz w:val="20"/>
        </w:rPr>
      </w:pPr>
      <w:r w:rsidRPr="00C71EBB">
        <w:rPr>
          <w:rFonts w:ascii="Times New Roman" w:hAnsi="Times New Roman" w:cs="Times New Roman"/>
          <w:sz w:val="20"/>
        </w:rPr>
        <w:t xml:space="preserve">The </w:t>
      </w:r>
      <w:r w:rsidRPr="00C71EBB">
        <w:rPr>
          <w:rFonts w:ascii="Times New Roman" w:hAnsi="Times New Roman" w:cs="Times New Roman"/>
          <w:sz w:val="20"/>
        </w:rPr>
        <w:t>adjustment of the proposed structural model was verified, considering life satisfaction as a criterion variable and engagement and its dimensions as predictors. At the same time, the factorial invariance of the hypothesized model was estimated according to sex.</w:t>
      </w:r>
    </w:p>
    <w:p w:rsidR="00C71EBB" w:rsidRPr="00C71EBB" w:rsidRDefault="00C71EBB" w:rsidP="00C71EBB">
      <w:pPr>
        <w:jc w:val="both"/>
        <w:rPr>
          <w:rFonts w:ascii="Times New Roman" w:hAnsi="Times New Roman" w:cs="Times New Roman"/>
          <w:b/>
          <w:i/>
        </w:rPr>
      </w:pPr>
      <w:r w:rsidRPr="00C71EBB">
        <w:rPr>
          <w:rFonts w:ascii="Times New Roman" w:hAnsi="Times New Roman" w:cs="Times New Roman"/>
          <w:b/>
          <w:i/>
        </w:rPr>
        <w:t xml:space="preserve">Analysis of results: </w:t>
      </w:r>
    </w:p>
    <w:p w:rsidR="00C71EBB" w:rsidRPr="00C71EBB" w:rsidRDefault="00C71EBB" w:rsidP="00C71EBB">
      <w:pPr>
        <w:jc w:val="both"/>
        <w:rPr>
          <w:rFonts w:ascii="Times New Roman" w:hAnsi="Times New Roman" w:cs="Times New Roman"/>
          <w:sz w:val="20"/>
        </w:rPr>
      </w:pPr>
      <w:r w:rsidRPr="00C71EBB">
        <w:rPr>
          <w:rFonts w:ascii="Times New Roman" w:hAnsi="Times New Roman" w:cs="Times New Roman"/>
          <w:sz w:val="20"/>
        </w:rPr>
        <w:t xml:space="preserve">The </w:t>
      </w:r>
      <w:r w:rsidRPr="00C71EBB">
        <w:rPr>
          <w:rFonts w:ascii="Times New Roman" w:hAnsi="Times New Roman" w:cs="Times New Roman"/>
          <w:sz w:val="20"/>
        </w:rPr>
        <w:t>results obtained from the techniques described in the data analysis section were analyzed.</w:t>
      </w:r>
    </w:p>
    <w:p w:rsidR="00C71EBB" w:rsidRDefault="00C71EBB" w:rsidP="00C71EBB">
      <w:pPr>
        <w:jc w:val="both"/>
        <w:rPr>
          <w:rFonts w:ascii="Times New Roman" w:hAnsi="Times New Roman" w:cs="Times New Roman"/>
          <w:sz w:val="20"/>
        </w:rPr>
      </w:pPr>
      <w:r w:rsidRPr="00C71EBB">
        <w:rPr>
          <w:rFonts w:ascii="Times New Roman" w:hAnsi="Times New Roman" w:cs="Times New Roman"/>
          <w:b/>
          <w:sz w:val="20"/>
        </w:rPr>
        <w:t>Findings:</w:t>
      </w:r>
      <w:r w:rsidRPr="00C71EBB">
        <w:rPr>
          <w:rFonts w:ascii="Times New Roman" w:hAnsi="Times New Roman" w:cs="Times New Roman"/>
          <w:sz w:val="20"/>
        </w:rPr>
        <w:t xml:space="preserve"> The results showed that life satisfaction correlated positively and significantly with the three dimensions of academic engagement. These relationships ranged from 0.454 to 0.508, all of </w:t>
      </w:r>
      <w:r w:rsidR="008E1718">
        <w:rPr>
          <w:rFonts w:ascii="Times New Roman" w:hAnsi="Times New Roman" w:cs="Times New Roman"/>
          <w:sz w:val="20"/>
        </w:rPr>
        <w:t>which were significant at the p&lt;</w:t>
      </w:r>
      <w:r w:rsidRPr="00C71EBB">
        <w:rPr>
          <w:rFonts w:ascii="Times New Roman" w:hAnsi="Times New Roman" w:cs="Times New Roman"/>
          <w:sz w:val="20"/>
        </w:rPr>
        <w:t xml:space="preserve">0.01 level. The mean comparisons of the variables studied according to sex and educational level. According to </w:t>
      </w:r>
      <w:r w:rsidRPr="00C71EBB">
        <w:rPr>
          <w:rFonts w:ascii="Times New Roman" w:hAnsi="Times New Roman" w:cs="Times New Roman"/>
          <w:sz w:val="20"/>
        </w:rPr>
        <w:lastRenderedPageBreak/>
        <w:t>sex, no significant differences were o</w:t>
      </w:r>
      <w:r w:rsidR="008E1718">
        <w:rPr>
          <w:rFonts w:ascii="Times New Roman" w:hAnsi="Times New Roman" w:cs="Times New Roman"/>
          <w:sz w:val="20"/>
        </w:rPr>
        <w:t>bserved in life satisfaction (t=0.41, p=0.68), vigor (t=</w:t>
      </w:r>
      <w:r w:rsidRPr="00C71EBB">
        <w:rPr>
          <w:rFonts w:ascii="Times New Roman" w:hAnsi="Times New Roman" w:cs="Times New Roman"/>
          <w:sz w:val="20"/>
        </w:rPr>
        <w:t>−</w:t>
      </w:r>
      <w:r w:rsidR="008E1718">
        <w:rPr>
          <w:rFonts w:ascii="Times New Roman" w:hAnsi="Times New Roman" w:cs="Times New Roman"/>
          <w:sz w:val="20"/>
        </w:rPr>
        <w:t>1.04, p=</w:t>
      </w:r>
      <w:r w:rsidRPr="00C71EBB">
        <w:rPr>
          <w:rFonts w:ascii="Times New Roman" w:hAnsi="Times New Roman" w:cs="Times New Roman"/>
          <w:sz w:val="20"/>
        </w:rPr>
        <w:t xml:space="preserve">0.30), </w:t>
      </w:r>
      <w:r w:rsidR="008E1718">
        <w:rPr>
          <w:rFonts w:ascii="Times New Roman" w:hAnsi="Times New Roman" w:cs="Times New Roman"/>
          <w:sz w:val="20"/>
        </w:rPr>
        <w:t>dedication (t=</w:t>
      </w:r>
      <w:r w:rsidRPr="00C71EBB">
        <w:rPr>
          <w:rFonts w:ascii="Times New Roman" w:hAnsi="Times New Roman" w:cs="Times New Roman"/>
          <w:sz w:val="20"/>
        </w:rPr>
        <w:t>−</w:t>
      </w:r>
      <w:r w:rsidR="008E1718">
        <w:rPr>
          <w:rFonts w:ascii="Times New Roman" w:hAnsi="Times New Roman" w:cs="Times New Roman"/>
          <w:sz w:val="20"/>
        </w:rPr>
        <w:t>0.80, p=0.43) and absorption (t=</w:t>
      </w:r>
      <w:r w:rsidRPr="00C71EBB">
        <w:rPr>
          <w:rFonts w:ascii="Times New Roman" w:hAnsi="Times New Roman" w:cs="Times New Roman"/>
          <w:sz w:val="20"/>
        </w:rPr>
        <w:t>−</w:t>
      </w:r>
      <w:r w:rsidR="008E1718">
        <w:rPr>
          <w:rFonts w:ascii="Times New Roman" w:hAnsi="Times New Roman" w:cs="Times New Roman"/>
          <w:sz w:val="20"/>
        </w:rPr>
        <w:t>1.86, p=</w:t>
      </w:r>
      <w:r w:rsidRPr="00C71EBB">
        <w:rPr>
          <w:rFonts w:ascii="Times New Roman" w:hAnsi="Times New Roman" w:cs="Times New Roman"/>
          <w:sz w:val="20"/>
        </w:rPr>
        <w:t>0.06)</w:t>
      </w:r>
      <w:r w:rsidR="008E1718">
        <w:rPr>
          <w:rFonts w:ascii="Times New Roman" w:hAnsi="Times New Roman" w:cs="Times New Roman"/>
          <w:sz w:val="20"/>
        </w:rPr>
        <w:t xml:space="preserve"> [Figure 1]</w:t>
      </w:r>
      <w:r w:rsidRPr="00C71EBB">
        <w:rPr>
          <w:rFonts w:ascii="Times New Roman" w:hAnsi="Times New Roman" w:cs="Times New Roman"/>
          <w:sz w:val="20"/>
        </w:rPr>
        <w:t>.</w:t>
      </w:r>
    </w:p>
    <w:p w:rsidR="008E1718" w:rsidRDefault="008E1718" w:rsidP="008E171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0B37505F">
            <wp:extent cx="3980815" cy="226822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980815" cy="2268220"/>
                    </a:xfrm>
                    <a:prstGeom prst="rect">
                      <a:avLst/>
                    </a:prstGeom>
                    <a:noFill/>
                  </pic:spPr>
                </pic:pic>
              </a:graphicData>
            </a:graphic>
          </wp:inline>
        </w:drawing>
      </w:r>
    </w:p>
    <w:p w:rsidR="008E1718" w:rsidRPr="008E1718" w:rsidRDefault="008E1718" w:rsidP="008E1718">
      <w:pPr>
        <w:jc w:val="center"/>
        <w:rPr>
          <w:rFonts w:ascii="Times New Roman" w:hAnsi="Times New Roman" w:cs="Times New Roman"/>
          <w:i/>
          <w:sz w:val="18"/>
        </w:rPr>
      </w:pPr>
      <w:proofErr w:type="gramStart"/>
      <w:r w:rsidRPr="008E1718">
        <w:rPr>
          <w:rFonts w:ascii="Times New Roman" w:hAnsi="Times New Roman" w:cs="Times New Roman"/>
          <w:b/>
          <w:i/>
          <w:sz w:val="18"/>
        </w:rPr>
        <w:t>Figure 1.</w:t>
      </w:r>
      <w:proofErr w:type="gramEnd"/>
      <w:r w:rsidRPr="008E1718">
        <w:rPr>
          <w:rFonts w:ascii="Times New Roman" w:hAnsi="Times New Roman" w:cs="Times New Roman"/>
          <w:i/>
          <w:sz w:val="18"/>
        </w:rPr>
        <w:t xml:space="preserve"> </w:t>
      </w:r>
      <w:proofErr w:type="gramStart"/>
      <w:r w:rsidRPr="008E1718">
        <w:rPr>
          <w:rFonts w:ascii="Times New Roman" w:hAnsi="Times New Roman" w:cs="Times New Roman"/>
          <w:i/>
          <w:sz w:val="18"/>
        </w:rPr>
        <w:t>Structural model of life satisfaction and academic engagement.</w:t>
      </w:r>
      <w:proofErr w:type="gramEnd"/>
    </w:p>
    <w:p w:rsidR="008E1718" w:rsidRDefault="008E1718" w:rsidP="008E1718">
      <w:pPr>
        <w:jc w:val="both"/>
        <w:rPr>
          <w:rFonts w:ascii="Times New Roman" w:hAnsi="Times New Roman" w:cs="Times New Roman"/>
          <w:sz w:val="20"/>
        </w:rPr>
      </w:pPr>
      <w:r w:rsidRPr="008E1718">
        <w:rPr>
          <w:rFonts w:ascii="Times New Roman" w:hAnsi="Times New Roman" w:cs="Times New Roman"/>
          <w:b/>
          <w:sz w:val="20"/>
        </w:rPr>
        <w:t>Conclusion:</w:t>
      </w:r>
      <w:r w:rsidRPr="008E1718">
        <w:rPr>
          <w:rFonts w:ascii="Times New Roman" w:hAnsi="Times New Roman" w:cs="Times New Roman"/>
          <w:sz w:val="20"/>
        </w:rPr>
        <w:t xml:space="preserve"> This study allowed verifying the impact of academic engagement on life satisfaction in Chilean university students. With the above, it can be confirmed that this is a relevant theoretical–conceptual tool for the promotion of mental health and the prevention of mental health issues in higher education institutions, based on a positive approach.</w:t>
      </w:r>
      <w:r>
        <w:rPr>
          <w:rFonts w:ascii="Times New Roman" w:hAnsi="Times New Roman" w:cs="Times New Roman"/>
          <w:sz w:val="20"/>
        </w:rPr>
        <w:t xml:space="preserve"> </w:t>
      </w:r>
      <w:r w:rsidRPr="008E1718">
        <w:rPr>
          <w:rFonts w:ascii="Times New Roman" w:hAnsi="Times New Roman" w:cs="Times New Roman"/>
          <w:sz w:val="20"/>
        </w:rPr>
        <w:t>One of the limitations of the present study regards its sample, which was limited to only one higher education institution. Therefore, future studies should focus on the behavior of these variables in other higher education instit</w:t>
      </w:r>
      <w:r>
        <w:rPr>
          <w:rFonts w:ascii="Times New Roman" w:hAnsi="Times New Roman" w:cs="Times New Roman"/>
          <w:sz w:val="20"/>
        </w:rPr>
        <w:t>utions, both public and private</w:t>
      </w:r>
      <w:r w:rsidRPr="008E1718">
        <w:rPr>
          <w:rFonts w:ascii="Times New Roman" w:hAnsi="Times New Roman" w:cs="Times New Roman"/>
          <w:sz w:val="20"/>
        </w:rPr>
        <w:t xml:space="preserve"> and in other geographical areas of the country, in order to evaluate the possible generalization of the results to different institutional and academic realities. It also remains a challenge for further studies to observe the impact of its application in interventions in educational organizations.</w:t>
      </w:r>
    </w:p>
    <w:p w:rsidR="008E1718" w:rsidRPr="008E1718" w:rsidRDefault="008E1718" w:rsidP="008E1718">
      <w:pPr>
        <w:rPr>
          <w:rFonts w:ascii="Times New Roman" w:hAnsi="Times New Roman" w:cs="Times New Roman"/>
          <w:b/>
          <w:sz w:val="24"/>
        </w:rPr>
      </w:pPr>
      <w:r w:rsidRPr="008E1718">
        <w:rPr>
          <w:rFonts w:ascii="Times New Roman" w:hAnsi="Times New Roman" w:cs="Times New Roman"/>
          <w:b/>
          <w:sz w:val="24"/>
        </w:rPr>
        <w:t>Biography</w:t>
      </w:r>
    </w:p>
    <w:p w:rsidR="008E1718" w:rsidRPr="00C71EBB" w:rsidRDefault="008E1718" w:rsidP="008E1718">
      <w:pPr>
        <w:jc w:val="both"/>
        <w:rPr>
          <w:rFonts w:ascii="Times New Roman" w:hAnsi="Times New Roman" w:cs="Times New Roman"/>
          <w:sz w:val="20"/>
        </w:rPr>
      </w:pPr>
      <w:r w:rsidRPr="008E1718">
        <w:rPr>
          <w:rFonts w:ascii="Times New Roman" w:hAnsi="Times New Roman" w:cs="Times New Roman"/>
          <w:sz w:val="20"/>
        </w:rPr>
        <w:t>Carmen Gloria Burgos-</w:t>
      </w:r>
      <w:proofErr w:type="spellStart"/>
      <w:r w:rsidRPr="008E1718">
        <w:rPr>
          <w:rFonts w:ascii="Times New Roman" w:hAnsi="Times New Roman" w:cs="Times New Roman"/>
          <w:sz w:val="20"/>
        </w:rPr>
        <w:t>Videla</w:t>
      </w:r>
      <w:proofErr w:type="spellEnd"/>
      <w:r w:rsidRPr="008E1718">
        <w:rPr>
          <w:rFonts w:ascii="Times New Roman" w:hAnsi="Times New Roman" w:cs="Times New Roman"/>
          <w:sz w:val="20"/>
        </w:rPr>
        <w:t xml:space="preserve"> is a teacher of basic general education. She has a master's degree in competency-based curriculum design and is a Doctor in Educational Sciences. She is a member of different research networks and director of the Research Institute in Social Sciences and education of the University of Atacama and of the Observatory on Education and Culture Society</w:t>
      </w:r>
      <w:r>
        <w:rPr>
          <w:rFonts w:ascii="Times New Roman" w:hAnsi="Times New Roman" w:cs="Times New Roman"/>
          <w:sz w:val="20"/>
        </w:rPr>
        <w:t>,</w:t>
      </w:r>
      <w:r w:rsidRPr="008E1718">
        <w:rPr>
          <w:rFonts w:ascii="Times New Roman" w:hAnsi="Times New Roman" w:cs="Times New Roman"/>
          <w:sz w:val="20"/>
        </w:rPr>
        <w:t xml:space="preserve"> Editor-in-chief Propulsion Magazine. Her lines of research are pedagogical and curricular the</w:t>
      </w:r>
      <w:r>
        <w:rPr>
          <w:rFonts w:ascii="Times New Roman" w:hAnsi="Times New Roman" w:cs="Times New Roman"/>
          <w:sz w:val="20"/>
        </w:rPr>
        <w:t>ory, creativity</w:t>
      </w:r>
      <w:r w:rsidRPr="008E1718">
        <w:rPr>
          <w:rFonts w:ascii="Times New Roman" w:hAnsi="Times New Roman" w:cs="Times New Roman"/>
          <w:sz w:val="20"/>
        </w:rPr>
        <w:t xml:space="preserve"> and vivid curricula.</w:t>
      </w:r>
      <w:bookmarkEnd w:id="0"/>
    </w:p>
    <w:sectPr w:rsidR="008E1718" w:rsidRPr="00C71E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EBB"/>
    <w:rsid w:val="00474203"/>
    <w:rsid w:val="00535872"/>
    <w:rsid w:val="008E1718"/>
    <w:rsid w:val="00924B33"/>
    <w:rsid w:val="00C71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17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7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E17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17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713</Words>
  <Characters>4066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2023-01-07T05:17:00Z</dcterms:created>
  <dcterms:modified xsi:type="dcterms:W3CDTF">2023-01-07T05:37:00Z</dcterms:modified>
</cp:coreProperties>
</file>