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03ACA">
      <w:pPr>
        <w:rPr>
          <w:rFonts w:ascii="Times New Roman" w:hAnsi="Times New Roman" w:cs="Times New Roman"/>
          <w:b/>
          <w:sz w:val="32"/>
        </w:rPr>
      </w:pPr>
      <w:commentRangeStart w:id="0"/>
      <w:r w:rsidRPr="00B03ACA">
        <w:rPr>
          <w:rFonts w:ascii="Times New Roman" w:hAnsi="Times New Roman" w:cs="Times New Roman"/>
          <w:b/>
          <w:sz w:val="32"/>
        </w:rPr>
        <w:t>Determinants of healthy ageing: A systematic review</w:t>
      </w:r>
      <w:commentRangeEnd w:id="0"/>
      <w:r w:rsidR="003E364F">
        <w:rPr>
          <w:rStyle w:val="CommentReference"/>
        </w:rPr>
        <w:commentReference w:id="0"/>
      </w:r>
    </w:p>
    <w:p w:rsidR="00B03ACA" w:rsidRDefault="00B03ACA">
      <w:pPr>
        <w:rPr>
          <w:rFonts w:ascii="Times New Roman" w:hAnsi="Times New Roman" w:cs="Times New Roman"/>
          <w:sz w:val="24"/>
        </w:rPr>
      </w:pPr>
      <w:r w:rsidRPr="00B03ACA">
        <w:rPr>
          <w:rFonts w:ascii="Times New Roman" w:hAnsi="Times New Roman" w:cs="Times New Roman"/>
          <w:sz w:val="24"/>
        </w:rPr>
        <w:t xml:space="preserve">Anil </w:t>
      </w:r>
      <w:proofErr w:type="spellStart"/>
      <w:r w:rsidRPr="00B03ACA">
        <w:rPr>
          <w:rFonts w:ascii="Times New Roman" w:hAnsi="Times New Roman" w:cs="Times New Roman"/>
          <w:sz w:val="24"/>
        </w:rPr>
        <w:t>Batta</w:t>
      </w:r>
      <w:proofErr w:type="spellEnd"/>
    </w:p>
    <w:p w:rsidR="00B03ACA" w:rsidRPr="00B03ACA" w:rsidRDefault="00B03ACA">
      <w:pPr>
        <w:rPr>
          <w:rFonts w:ascii="Times New Roman" w:hAnsi="Times New Roman" w:cs="Times New Roman"/>
        </w:rPr>
      </w:pPr>
      <w:r w:rsidRPr="00B03ACA">
        <w:rPr>
          <w:rFonts w:ascii="Times New Roman" w:hAnsi="Times New Roman" w:cs="Times New Roman"/>
        </w:rPr>
        <w:t>MM Institute of Medical Sciences &amp; Research, India</w:t>
      </w:r>
    </w:p>
    <w:p w:rsidR="00B03ACA" w:rsidRPr="00B03ACA" w:rsidRDefault="00B03ACA" w:rsidP="00B03ACA">
      <w:pPr>
        <w:jc w:val="center"/>
        <w:rPr>
          <w:rFonts w:ascii="Times New Roman" w:hAnsi="Times New Roman" w:cs="Times New Roman"/>
          <w:b/>
          <w:sz w:val="24"/>
        </w:rPr>
      </w:pPr>
      <w:r w:rsidRPr="00B03ACA">
        <w:rPr>
          <w:rFonts w:ascii="Times New Roman" w:hAnsi="Times New Roman" w:cs="Times New Roman"/>
          <w:b/>
          <w:sz w:val="24"/>
        </w:rPr>
        <w:t>Abstract</w:t>
      </w:r>
    </w:p>
    <w:p w:rsidR="00B03ACA" w:rsidRPr="00B03ACA" w:rsidRDefault="00B03ACA" w:rsidP="00B03ACA">
      <w:pPr>
        <w:jc w:val="both"/>
        <w:rPr>
          <w:rFonts w:ascii="Times New Roman" w:hAnsi="Times New Roman" w:cs="Times New Roman"/>
          <w:sz w:val="20"/>
        </w:rPr>
      </w:pPr>
      <w:r w:rsidRPr="00B03ACA">
        <w:rPr>
          <w:rFonts w:ascii="Times New Roman" w:hAnsi="Times New Roman" w:cs="Times New Roman"/>
          <w:b/>
          <w:sz w:val="20"/>
        </w:rPr>
        <w:t>Background:</w:t>
      </w:r>
      <w:r w:rsidRPr="00B03ACA">
        <w:rPr>
          <w:rFonts w:ascii="Times New Roman" w:hAnsi="Times New Roman" w:cs="Times New Roman"/>
          <w:sz w:val="20"/>
        </w:rPr>
        <w:t xml:space="preserve"> Healthy ageing frameworks have been highly explored. Our objective</w:t>
      </w:r>
      <w:bookmarkStart w:id="1" w:name="_GoBack"/>
      <w:bookmarkEnd w:id="1"/>
      <w:r w:rsidRPr="00B03ACA">
        <w:rPr>
          <w:rFonts w:ascii="Times New Roman" w:hAnsi="Times New Roman" w:cs="Times New Roman"/>
          <w:sz w:val="20"/>
        </w:rPr>
        <w:t xml:space="preserve"> was to assess existing frameworks for healthy ageing and to identify commonly described factors that can potentially act as determinants of healthy ageing. </w:t>
      </w:r>
    </w:p>
    <w:p w:rsidR="00B03ACA" w:rsidRPr="00B03ACA" w:rsidRDefault="00B03ACA" w:rsidP="00B03ACA">
      <w:pPr>
        <w:jc w:val="both"/>
        <w:rPr>
          <w:rFonts w:ascii="Times New Roman" w:hAnsi="Times New Roman" w:cs="Times New Roman"/>
          <w:sz w:val="20"/>
        </w:rPr>
      </w:pPr>
      <w:r w:rsidRPr="00B03ACA">
        <w:rPr>
          <w:rFonts w:ascii="Times New Roman" w:hAnsi="Times New Roman" w:cs="Times New Roman"/>
          <w:b/>
          <w:sz w:val="20"/>
        </w:rPr>
        <w:t>Methods:</w:t>
      </w:r>
      <w:r w:rsidRPr="00B03ACA">
        <w:rPr>
          <w:rFonts w:ascii="Times New Roman" w:hAnsi="Times New Roman" w:cs="Times New Roman"/>
          <w:sz w:val="20"/>
        </w:rPr>
        <w:t xml:space="preserve"> We carried out a systematic review by searching databases from January 2010 to November 2020 to capture contemporary evidence. Eligible studies needed to report a clear framework of healthy ageing in humans, within one or more of three domains (physical, mental/cognitive, social), in English. No restriction was placed on geographical location. Retrospective studies, studies that did not repor</w:t>
      </w:r>
      <w:r w:rsidR="00DB5090">
        <w:rPr>
          <w:rFonts w:ascii="Times New Roman" w:hAnsi="Times New Roman" w:cs="Times New Roman"/>
          <w:sz w:val="20"/>
        </w:rPr>
        <w:t>t a framework of healthy ageing</w:t>
      </w:r>
      <w:r w:rsidRPr="00B03ACA">
        <w:rPr>
          <w:rFonts w:ascii="Times New Roman" w:hAnsi="Times New Roman" w:cs="Times New Roman"/>
          <w:sz w:val="20"/>
        </w:rPr>
        <w:t xml:space="preserve"> and studies with a focus on diagnostic measures were excluded. </w:t>
      </w:r>
    </w:p>
    <w:p w:rsidR="00B03ACA" w:rsidRPr="00B03ACA" w:rsidRDefault="00B03ACA" w:rsidP="00B03ACA">
      <w:pPr>
        <w:jc w:val="both"/>
        <w:rPr>
          <w:rFonts w:ascii="Times New Roman" w:hAnsi="Times New Roman" w:cs="Times New Roman"/>
          <w:sz w:val="20"/>
        </w:rPr>
      </w:pPr>
      <w:r w:rsidRPr="00B03ACA">
        <w:rPr>
          <w:rFonts w:ascii="Times New Roman" w:hAnsi="Times New Roman" w:cs="Times New Roman"/>
          <w:b/>
          <w:sz w:val="20"/>
        </w:rPr>
        <w:t>Results:</w:t>
      </w:r>
      <w:r w:rsidRPr="00B03ACA">
        <w:rPr>
          <w:rFonts w:ascii="Times New Roman" w:hAnsi="Times New Roman" w:cs="Times New Roman"/>
          <w:sz w:val="20"/>
        </w:rPr>
        <w:t xml:space="preserve"> Of 3329 identified records, nine studies met our eligibility criteria and were included. Most of the studies were</w:t>
      </w:r>
      <w:r w:rsidR="00DB5090">
        <w:rPr>
          <w:rFonts w:ascii="Times New Roman" w:hAnsi="Times New Roman" w:cs="Times New Roman"/>
          <w:sz w:val="20"/>
        </w:rPr>
        <w:t xml:space="preserve"> qualitative or cross sectional</w:t>
      </w:r>
      <w:r w:rsidRPr="00B03ACA">
        <w:rPr>
          <w:rFonts w:ascii="Times New Roman" w:hAnsi="Times New Roman" w:cs="Times New Roman"/>
          <w:sz w:val="20"/>
        </w:rPr>
        <w:t xml:space="preserve"> and a majority were carried out in Asia, followed by North America, Australia and Africa. The ten determinants identified for healthy ageing include physical activity, diet, self-awareness, outlook/attitude, life-long learning, faith, social support, financial</w:t>
      </w:r>
      <w:r w:rsidR="00DB5090">
        <w:rPr>
          <w:rFonts w:ascii="Times New Roman" w:hAnsi="Times New Roman" w:cs="Times New Roman"/>
          <w:sz w:val="20"/>
        </w:rPr>
        <w:t xml:space="preserve"> security, community engagement</w:t>
      </w:r>
      <w:r w:rsidRPr="00B03ACA">
        <w:rPr>
          <w:rFonts w:ascii="Times New Roman" w:hAnsi="Times New Roman" w:cs="Times New Roman"/>
          <w:sz w:val="20"/>
        </w:rPr>
        <w:t xml:space="preserve"> and independence. </w:t>
      </w:r>
    </w:p>
    <w:p w:rsidR="00B03ACA" w:rsidRDefault="00B03ACA" w:rsidP="00B03ACA">
      <w:pPr>
        <w:jc w:val="both"/>
        <w:rPr>
          <w:rFonts w:ascii="Times New Roman" w:hAnsi="Times New Roman" w:cs="Times New Roman"/>
          <w:sz w:val="20"/>
        </w:rPr>
      </w:pPr>
      <w:r w:rsidRPr="00B03ACA">
        <w:rPr>
          <w:rFonts w:ascii="Times New Roman" w:hAnsi="Times New Roman" w:cs="Times New Roman"/>
          <w:b/>
          <w:sz w:val="20"/>
        </w:rPr>
        <w:t>Conclusion:</w:t>
      </w:r>
      <w:r w:rsidRPr="00B03ACA">
        <w:rPr>
          <w:rFonts w:ascii="Times New Roman" w:hAnsi="Times New Roman" w:cs="Times New Roman"/>
          <w:sz w:val="20"/>
        </w:rPr>
        <w:t xml:space="preserve"> We identified ten determinants of healthy ageing proposed by the contemporary evidence base. There appears to be increasing acknowledgement of the instrumental role of social and mental/cognitive well-being as determinants of healthy ageing. The extent to which each determinant contributes to healthy ageing requires further evaluation.</w:t>
      </w:r>
    </w:p>
    <w:p w:rsidR="00B03ACA" w:rsidRPr="00B03ACA" w:rsidRDefault="00B03ACA" w:rsidP="00B03ACA">
      <w:pPr>
        <w:rPr>
          <w:rFonts w:ascii="Times New Roman" w:hAnsi="Times New Roman" w:cs="Times New Roman"/>
          <w:b/>
          <w:sz w:val="24"/>
        </w:rPr>
      </w:pPr>
      <w:r w:rsidRPr="00B03ACA">
        <w:rPr>
          <w:rFonts w:ascii="Times New Roman" w:hAnsi="Times New Roman" w:cs="Times New Roman"/>
          <w:b/>
          <w:sz w:val="24"/>
        </w:rPr>
        <w:t>Biography</w:t>
      </w:r>
    </w:p>
    <w:p w:rsidR="00B03ACA" w:rsidRPr="00B03ACA" w:rsidRDefault="00B03ACA" w:rsidP="00B03ACA">
      <w:pPr>
        <w:jc w:val="both"/>
        <w:rPr>
          <w:rFonts w:ascii="Times New Roman" w:hAnsi="Times New Roman" w:cs="Times New Roman"/>
          <w:sz w:val="20"/>
        </w:rPr>
      </w:pPr>
      <w:r w:rsidRPr="00B03ACA">
        <w:rPr>
          <w:rFonts w:ascii="Times New Roman" w:hAnsi="Times New Roman" w:cs="Times New Roman"/>
          <w:sz w:val="20"/>
        </w:rPr>
        <w:t xml:space="preserve">Anil </w:t>
      </w:r>
      <w:proofErr w:type="spellStart"/>
      <w:r w:rsidRPr="00B03ACA">
        <w:rPr>
          <w:rFonts w:ascii="Times New Roman" w:hAnsi="Times New Roman" w:cs="Times New Roman"/>
          <w:sz w:val="20"/>
        </w:rPr>
        <w:t>Batta</w:t>
      </w:r>
      <w:proofErr w:type="spellEnd"/>
      <w:r w:rsidRPr="00B03ACA">
        <w:rPr>
          <w:rFonts w:ascii="Times New Roman" w:hAnsi="Times New Roman" w:cs="Times New Roman"/>
          <w:sz w:val="20"/>
        </w:rPr>
        <w:t xml:space="preserve"> is presently professor &amp; Head with senior consultant in Govt. Medical </w:t>
      </w:r>
      <w:r>
        <w:rPr>
          <w:rFonts w:ascii="Times New Roman" w:hAnsi="Times New Roman" w:cs="Times New Roman"/>
          <w:sz w:val="20"/>
        </w:rPr>
        <w:t>College, Amritsar. He did his MBBS and MD</w:t>
      </w:r>
      <w:r w:rsidRPr="00B03ACA">
        <w:rPr>
          <w:rFonts w:ascii="Times New Roman" w:hAnsi="Times New Roman" w:cs="Times New Roman"/>
          <w:sz w:val="20"/>
        </w:rPr>
        <w:t xml:space="preserve"> in Medical Biochemistry from Govt. Medical College, Patiala in 1984 and 1991, respectively. His research interest is mainly in clinical application especially cancer and drug de-addiction. H</w:t>
      </w:r>
      <w:r>
        <w:rPr>
          <w:rFonts w:ascii="Times New Roman" w:hAnsi="Times New Roman" w:cs="Times New Roman"/>
          <w:sz w:val="20"/>
        </w:rPr>
        <w:t>e has supervised more than 25 MD</w:t>
      </w:r>
      <w:r w:rsidRPr="00B03ACA">
        <w:rPr>
          <w:rFonts w:ascii="Times New Roman" w:hAnsi="Times New Roman" w:cs="Times New Roman"/>
          <w:sz w:val="20"/>
        </w:rPr>
        <w:t xml:space="preserve">,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B03ACA">
        <w:rPr>
          <w:rFonts w:ascii="Times New Roman" w:hAnsi="Times New Roman" w:cs="Times New Roman"/>
          <w:sz w:val="20"/>
        </w:rPr>
        <w:t>Farid</w:t>
      </w:r>
      <w:proofErr w:type="spellEnd"/>
      <w:r w:rsidRPr="00B03ACA">
        <w:rPr>
          <w:rFonts w:ascii="Times New Roman" w:hAnsi="Times New Roman" w:cs="Times New Roman"/>
          <w:sz w:val="20"/>
        </w:rPr>
        <w:t xml:space="preserve"> Univ. of Health Sciences, </w:t>
      </w:r>
      <w:proofErr w:type="spellStart"/>
      <w:r w:rsidRPr="00B03ACA">
        <w:rPr>
          <w:rFonts w:ascii="Times New Roman" w:hAnsi="Times New Roman" w:cs="Times New Roman"/>
          <w:sz w:val="20"/>
        </w:rPr>
        <w:t>Faridkot</w:t>
      </w:r>
      <w:proofErr w:type="spellEnd"/>
      <w:r w:rsidRPr="00B03ACA">
        <w:rPr>
          <w:rFonts w:ascii="Times New Roman" w:hAnsi="Times New Roman" w:cs="Times New Roman"/>
          <w:sz w:val="20"/>
        </w:rPr>
        <w:t xml:space="preserve">. He has chaired various sessions in the Biochemistry meets. He has been designated as member Editorial Board of various in US and other European Countries. He is also involved in various research projects at Govt. Medical, Amritsar. He has done </w:t>
      </w:r>
      <w:proofErr w:type="spellStart"/>
      <w:r w:rsidRPr="00B03ACA">
        <w:rPr>
          <w:rFonts w:ascii="Times New Roman" w:hAnsi="Times New Roman" w:cs="Times New Roman"/>
          <w:sz w:val="20"/>
        </w:rPr>
        <w:t>superspecialisation</w:t>
      </w:r>
      <w:proofErr w:type="spellEnd"/>
      <w:r w:rsidRPr="00B03ACA">
        <w:rPr>
          <w:rFonts w:ascii="Times New Roman" w:hAnsi="Times New Roman" w:cs="Times New Roman"/>
          <w:sz w:val="20"/>
        </w:rPr>
        <w:t xml:space="preserve"> in Drug-de-addiction from PGIMER, Chandigarh.</w:t>
      </w:r>
    </w:p>
    <w:sectPr w:rsidR="00B03ACA" w:rsidRPr="00B03AC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27T15:18:00Z" w:initials="SS">
    <w:p w:rsidR="003E364F" w:rsidRDefault="003E364F">
      <w:pPr>
        <w:pStyle w:val="CommentText"/>
      </w:pPr>
      <w:r>
        <w:rPr>
          <w:rStyle w:val="CommentReference"/>
        </w:rPr>
        <w:annotationRef/>
      </w:r>
      <w:r>
        <w:t>Rejected as content plagiarized from below link.</w:t>
      </w:r>
    </w:p>
    <w:p w:rsidR="003E364F" w:rsidRDefault="003E364F">
      <w:pPr>
        <w:pStyle w:val="CommentText"/>
      </w:pPr>
    </w:p>
    <w:p w:rsidR="003E364F" w:rsidRDefault="003E364F" w:rsidP="003E364F">
      <w:pPr>
        <w:pStyle w:val="CommentText"/>
        <w:numPr>
          <w:ilvl w:val="0"/>
          <w:numId w:val="1"/>
        </w:numPr>
      </w:pPr>
      <w:hyperlink r:id="rId1" w:history="1">
        <w:r w:rsidRPr="00443C4A">
          <w:rPr>
            <w:rStyle w:val="Hyperlink"/>
          </w:rPr>
          <w:t>https://pubmed.ncbi.nlm.nih.gov/35132578/</w:t>
        </w:r>
      </w:hyperlink>
    </w:p>
    <w:p w:rsidR="003E364F" w:rsidRDefault="003E364F" w:rsidP="003E364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05F04"/>
    <w:multiLevelType w:val="hybridMultilevel"/>
    <w:tmpl w:val="F362B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CA"/>
    <w:rsid w:val="003E364F"/>
    <w:rsid w:val="00474203"/>
    <w:rsid w:val="00535872"/>
    <w:rsid w:val="00924B33"/>
    <w:rsid w:val="00B03ACA"/>
    <w:rsid w:val="00DB5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364F"/>
    <w:rPr>
      <w:sz w:val="16"/>
      <w:szCs w:val="16"/>
    </w:rPr>
  </w:style>
  <w:style w:type="paragraph" w:styleId="CommentText">
    <w:name w:val="annotation text"/>
    <w:basedOn w:val="Normal"/>
    <w:link w:val="CommentTextChar"/>
    <w:uiPriority w:val="99"/>
    <w:semiHidden/>
    <w:unhideWhenUsed/>
    <w:rsid w:val="003E364F"/>
    <w:pPr>
      <w:spacing w:line="240" w:lineRule="auto"/>
    </w:pPr>
    <w:rPr>
      <w:sz w:val="20"/>
      <w:szCs w:val="20"/>
    </w:rPr>
  </w:style>
  <w:style w:type="character" w:customStyle="1" w:styleId="CommentTextChar">
    <w:name w:val="Comment Text Char"/>
    <w:basedOn w:val="DefaultParagraphFont"/>
    <w:link w:val="CommentText"/>
    <w:uiPriority w:val="99"/>
    <w:semiHidden/>
    <w:rsid w:val="003E364F"/>
    <w:rPr>
      <w:sz w:val="20"/>
      <w:szCs w:val="20"/>
    </w:rPr>
  </w:style>
  <w:style w:type="paragraph" w:styleId="CommentSubject">
    <w:name w:val="annotation subject"/>
    <w:basedOn w:val="CommentText"/>
    <w:next w:val="CommentText"/>
    <w:link w:val="CommentSubjectChar"/>
    <w:uiPriority w:val="99"/>
    <w:semiHidden/>
    <w:unhideWhenUsed/>
    <w:rsid w:val="003E364F"/>
    <w:rPr>
      <w:b/>
      <w:bCs/>
    </w:rPr>
  </w:style>
  <w:style w:type="character" w:customStyle="1" w:styleId="CommentSubjectChar">
    <w:name w:val="Comment Subject Char"/>
    <w:basedOn w:val="CommentTextChar"/>
    <w:link w:val="CommentSubject"/>
    <w:uiPriority w:val="99"/>
    <w:semiHidden/>
    <w:rsid w:val="003E364F"/>
    <w:rPr>
      <w:b/>
      <w:bCs/>
      <w:sz w:val="20"/>
      <w:szCs w:val="20"/>
    </w:rPr>
  </w:style>
  <w:style w:type="paragraph" w:styleId="BalloonText">
    <w:name w:val="Balloon Text"/>
    <w:basedOn w:val="Normal"/>
    <w:link w:val="BalloonTextChar"/>
    <w:uiPriority w:val="99"/>
    <w:semiHidden/>
    <w:unhideWhenUsed/>
    <w:rsid w:val="003E36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64F"/>
    <w:rPr>
      <w:rFonts w:ascii="Tahoma" w:hAnsi="Tahoma" w:cs="Tahoma"/>
      <w:sz w:val="16"/>
      <w:szCs w:val="16"/>
    </w:rPr>
  </w:style>
  <w:style w:type="character" w:styleId="Hyperlink">
    <w:name w:val="Hyperlink"/>
    <w:basedOn w:val="DefaultParagraphFont"/>
    <w:uiPriority w:val="99"/>
    <w:unhideWhenUsed/>
    <w:rsid w:val="003E36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364F"/>
    <w:rPr>
      <w:sz w:val="16"/>
      <w:szCs w:val="16"/>
    </w:rPr>
  </w:style>
  <w:style w:type="paragraph" w:styleId="CommentText">
    <w:name w:val="annotation text"/>
    <w:basedOn w:val="Normal"/>
    <w:link w:val="CommentTextChar"/>
    <w:uiPriority w:val="99"/>
    <w:semiHidden/>
    <w:unhideWhenUsed/>
    <w:rsid w:val="003E364F"/>
    <w:pPr>
      <w:spacing w:line="240" w:lineRule="auto"/>
    </w:pPr>
    <w:rPr>
      <w:sz w:val="20"/>
      <w:szCs w:val="20"/>
    </w:rPr>
  </w:style>
  <w:style w:type="character" w:customStyle="1" w:styleId="CommentTextChar">
    <w:name w:val="Comment Text Char"/>
    <w:basedOn w:val="DefaultParagraphFont"/>
    <w:link w:val="CommentText"/>
    <w:uiPriority w:val="99"/>
    <w:semiHidden/>
    <w:rsid w:val="003E364F"/>
    <w:rPr>
      <w:sz w:val="20"/>
      <w:szCs w:val="20"/>
    </w:rPr>
  </w:style>
  <w:style w:type="paragraph" w:styleId="CommentSubject">
    <w:name w:val="annotation subject"/>
    <w:basedOn w:val="CommentText"/>
    <w:next w:val="CommentText"/>
    <w:link w:val="CommentSubjectChar"/>
    <w:uiPriority w:val="99"/>
    <w:semiHidden/>
    <w:unhideWhenUsed/>
    <w:rsid w:val="003E364F"/>
    <w:rPr>
      <w:b/>
      <w:bCs/>
    </w:rPr>
  </w:style>
  <w:style w:type="character" w:customStyle="1" w:styleId="CommentSubjectChar">
    <w:name w:val="Comment Subject Char"/>
    <w:basedOn w:val="CommentTextChar"/>
    <w:link w:val="CommentSubject"/>
    <w:uiPriority w:val="99"/>
    <w:semiHidden/>
    <w:rsid w:val="003E364F"/>
    <w:rPr>
      <w:b/>
      <w:bCs/>
      <w:sz w:val="20"/>
      <w:szCs w:val="20"/>
    </w:rPr>
  </w:style>
  <w:style w:type="paragraph" w:styleId="BalloonText">
    <w:name w:val="Balloon Text"/>
    <w:basedOn w:val="Normal"/>
    <w:link w:val="BalloonTextChar"/>
    <w:uiPriority w:val="99"/>
    <w:semiHidden/>
    <w:unhideWhenUsed/>
    <w:rsid w:val="003E36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64F"/>
    <w:rPr>
      <w:rFonts w:ascii="Tahoma" w:hAnsi="Tahoma" w:cs="Tahoma"/>
      <w:sz w:val="16"/>
      <w:szCs w:val="16"/>
    </w:rPr>
  </w:style>
  <w:style w:type="character" w:styleId="Hyperlink">
    <w:name w:val="Hyperlink"/>
    <w:basedOn w:val="DefaultParagraphFont"/>
    <w:uiPriority w:val="99"/>
    <w:unhideWhenUsed/>
    <w:rsid w:val="003E36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ubmed.ncbi.nlm.nih.gov/3513257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2022-12-27T09:33:00Z</dcterms:created>
  <dcterms:modified xsi:type="dcterms:W3CDTF">2022-12-27T09:48:00Z</dcterms:modified>
</cp:coreProperties>
</file>