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8E" w:rsidRPr="005F628E" w:rsidRDefault="005F628E" w:rsidP="005F628E">
      <w:pPr>
        <w:rPr>
          <w:rFonts w:ascii="Times New Roman" w:hAnsi="Times New Roman" w:cs="Times New Roman"/>
          <w:b/>
          <w:sz w:val="32"/>
        </w:rPr>
      </w:pPr>
      <w:r w:rsidRPr="005F628E">
        <w:rPr>
          <w:rFonts w:ascii="Times New Roman" w:hAnsi="Times New Roman" w:cs="Times New Roman"/>
          <w:b/>
          <w:sz w:val="32"/>
        </w:rPr>
        <w:t xml:space="preserve">Metal free </w:t>
      </w:r>
      <w:proofErr w:type="spellStart"/>
      <w:r w:rsidRPr="005F628E">
        <w:rPr>
          <w:rFonts w:ascii="Times New Roman" w:hAnsi="Times New Roman" w:cs="Times New Roman"/>
          <w:b/>
          <w:sz w:val="32"/>
        </w:rPr>
        <w:t>aryne</w:t>
      </w:r>
      <w:proofErr w:type="spellEnd"/>
      <w:r w:rsidRPr="005F628E">
        <w:rPr>
          <w:rFonts w:ascii="Times New Roman" w:hAnsi="Times New Roman" w:cs="Times New Roman"/>
          <w:b/>
          <w:sz w:val="32"/>
        </w:rPr>
        <w:t xml:space="preserve"> mediated cross </w:t>
      </w:r>
      <w:proofErr w:type="spellStart"/>
      <w:r w:rsidRPr="005F628E">
        <w:rPr>
          <w:rFonts w:ascii="Times New Roman" w:hAnsi="Times New Roman" w:cs="Times New Roman"/>
          <w:b/>
          <w:sz w:val="32"/>
        </w:rPr>
        <w:t>dehydrogenative</w:t>
      </w:r>
      <w:proofErr w:type="spellEnd"/>
      <w:r w:rsidRPr="005F628E">
        <w:rPr>
          <w:rFonts w:ascii="Times New Roman" w:hAnsi="Times New Roman" w:cs="Times New Roman"/>
          <w:b/>
          <w:sz w:val="32"/>
        </w:rPr>
        <w:t xml:space="preserve"> coupling</w:t>
      </w:r>
    </w:p>
    <w:p w:rsidR="005F628E" w:rsidRPr="005F628E" w:rsidRDefault="005F628E" w:rsidP="005F628E">
      <w:pPr>
        <w:rPr>
          <w:rFonts w:ascii="Times New Roman" w:hAnsi="Times New Roman" w:cs="Times New Roman"/>
          <w:sz w:val="24"/>
        </w:rPr>
      </w:pPr>
      <w:proofErr w:type="spellStart"/>
      <w:r w:rsidRPr="005F628E">
        <w:rPr>
          <w:rFonts w:ascii="Times New Roman" w:hAnsi="Times New Roman" w:cs="Times New Roman"/>
          <w:sz w:val="24"/>
        </w:rPr>
        <w:t>Khushal</w:t>
      </w:r>
      <w:proofErr w:type="spellEnd"/>
      <w:r w:rsidRPr="005F628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F628E">
        <w:rPr>
          <w:rFonts w:ascii="Times New Roman" w:hAnsi="Times New Roman" w:cs="Times New Roman"/>
          <w:sz w:val="24"/>
        </w:rPr>
        <w:t>Siddiq</w:t>
      </w:r>
      <w:proofErr w:type="spellEnd"/>
    </w:p>
    <w:p w:rsidR="005F628E" w:rsidRPr="005F628E" w:rsidRDefault="005F628E" w:rsidP="005F628E">
      <w:pPr>
        <w:rPr>
          <w:rFonts w:ascii="Times New Roman" w:hAnsi="Times New Roman" w:cs="Times New Roman"/>
        </w:rPr>
      </w:pPr>
      <w:r w:rsidRPr="005F628E">
        <w:rPr>
          <w:rFonts w:ascii="Times New Roman" w:hAnsi="Times New Roman" w:cs="Times New Roman"/>
        </w:rPr>
        <w:t>Queen Mary University of London, UK</w:t>
      </w:r>
    </w:p>
    <w:p w:rsidR="005F628E" w:rsidRPr="005F628E" w:rsidRDefault="005F628E" w:rsidP="005F628E">
      <w:pPr>
        <w:jc w:val="center"/>
        <w:rPr>
          <w:rFonts w:ascii="Times New Roman" w:hAnsi="Times New Roman" w:cs="Times New Roman"/>
          <w:b/>
          <w:sz w:val="24"/>
        </w:rPr>
      </w:pPr>
      <w:r w:rsidRPr="005F628E">
        <w:rPr>
          <w:rFonts w:ascii="Times New Roman" w:hAnsi="Times New Roman" w:cs="Times New Roman"/>
          <w:b/>
          <w:sz w:val="24"/>
        </w:rPr>
        <w:t>Abstract</w:t>
      </w:r>
    </w:p>
    <w:p w:rsidR="00474203" w:rsidRPr="005F628E" w:rsidRDefault="005F628E" w:rsidP="005F628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F628E">
        <w:rPr>
          <w:rFonts w:ascii="Times New Roman" w:hAnsi="Times New Roman" w:cs="Times New Roman"/>
          <w:sz w:val="20"/>
        </w:rPr>
        <w:t>Arynes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are neutral but extremely versatile, unstable</w:t>
      </w:r>
      <w:r w:rsidR="000643E7">
        <w:rPr>
          <w:rFonts w:ascii="Times New Roman" w:hAnsi="Times New Roman" w:cs="Times New Roman"/>
          <w:sz w:val="20"/>
        </w:rPr>
        <w:t xml:space="preserve"> and</w:t>
      </w:r>
      <w:r w:rsidRPr="005F628E">
        <w:rPr>
          <w:rFonts w:ascii="Times New Roman" w:hAnsi="Times New Roman" w:cs="Times New Roman"/>
          <w:sz w:val="20"/>
        </w:rPr>
        <w:t xml:space="preserve"> reactive intermediates that have experienced a recent resurgence in interest due to the development of precursors that act under mild conditions, with the most prominent being 2-(</w:t>
      </w:r>
      <w:proofErr w:type="spellStart"/>
      <w:r w:rsidRPr="005F628E">
        <w:rPr>
          <w:rFonts w:ascii="Times New Roman" w:hAnsi="Times New Roman" w:cs="Times New Roman"/>
          <w:sz w:val="20"/>
        </w:rPr>
        <w:t>trimethylsilyl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)aryl </w:t>
      </w:r>
      <w:proofErr w:type="spellStart"/>
      <w:r w:rsidRPr="005F628E">
        <w:rPr>
          <w:rFonts w:ascii="Times New Roman" w:hAnsi="Times New Roman" w:cs="Times New Roman"/>
          <w:sz w:val="20"/>
        </w:rPr>
        <w:t>triflates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also known as Kobayashi’s </w:t>
      </w:r>
      <w:proofErr w:type="spellStart"/>
      <w:r w:rsidRPr="005F628E">
        <w:rPr>
          <w:rFonts w:ascii="Times New Roman" w:hAnsi="Times New Roman" w:cs="Times New Roman"/>
          <w:sz w:val="20"/>
        </w:rPr>
        <w:t>aryne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precursor. The distinctive reactivity of </w:t>
      </w:r>
      <w:proofErr w:type="spellStart"/>
      <w:r w:rsidRPr="005F628E">
        <w:rPr>
          <w:rFonts w:ascii="Times New Roman" w:hAnsi="Times New Roman" w:cs="Times New Roman"/>
          <w:sz w:val="20"/>
        </w:rPr>
        <w:t>arynes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enables the construction of com</w:t>
      </w:r>
      <w:bookmarkStart w:id="0" w:name="_GoBack"/>
      <w:bookmarkEnd w:id="0"/>
      <w:r w:rsidRPr="005F628E">
        <w:rPr>
          <w:rFonts w:ascii="Times New Roman" w:hAnsi="Times New Roman" w:cs="Times New Roman"/>
          <w:sz w:val="20"/>
        </w:rPr>
        <w:t xml:space="preserve">plex polycyclic and heterocyclic aromatic frameworks in short order which has captivated the interest of organic chemists. Direct functionalization of otherwise chemically inert </w:t>
      </w:r>
      <w:proofErr w:type="gramStart"/>
      <w:r w:rsidRPr="005F628E">
        <w:rPr>
          <w:rFonts w:ascii="Times New Roman" w:hAnsi="Times New Roman" w:cs="Times New Roman"/>
          <w:sz w:val="20"/>
        </w:rPr>
        <w:t>C(</w:t>
      </w:r>
      <w:proofErr w:type="gramEnd"/>
      <w:r w:rsidRPr="005F628E">
        <w:rPr>
          <w:rFonts w:ascii="Times New Roman" w:hAnsi="Times New Roman" w:cs="Times New Roman"/>
          <w:sz w:val="20"/>
        </w:rPr>
        <w:t>sp</w:t>
      </w:r>
      <w:r w:rsidRPr="005F628E">
        <w:rPr>
          <w:rFonts w:ascii="Times New Roman" w:hAnsi="Times New Roman" w:cs="Times New Roman"/>
          <w:sz w:val="20"/>
          <w:vertAlign w:val="superscript"/>
        </w:rPr>
        <w:t>3</w:t>
      </w:r>
      <w:r w:rsidRPr="005F628E">
        <w:rPr>
          <w:rFonts w:ascii="Times New Roman" w:hAnsi="Times New Roman" w:cs="Times New Roman"/>
          <w:sz w:val="20"/>
        </w:rPr>
        <w:t>)-H</w:t>
      </w:r>
      <w:r w:rsidR="000643E7">
        <w:rPr>
          <w:rFonts w:ascii="Times New Roman" w:hAnsi="Times New Roman" w:cs="Times New Roman"/>
          <w:sz w:val="20"/>
        </w:rPr>
        <w:t xml:space="preserve"> [Figure 1]</w:t>
      </w:r>
      <w:r w:rsidRPr="005F628E">
        <w:rPr>
          <w:rFonts w:ascii="Times New Roman" w:hAnsi="Times New Roman" w:cs="Times New Roman"/>
          <w:sz w:val="20"/>
        </w:rPr>
        <w:t xml:space="preserve"> bonds provides a potent strategic approach for the synthesis of complex molecules by removing the need for pre- </w:t>
      </w:r>
      <w:proofErr w:type="spellStart"/>
      <w:r w:rsidRPr="005F628E">
        <w:rPr>
          <w:rFonts w:ascii="Times New Roman" w:hAnsi="Times New Roman" w:cs="Times New Roman"/>
          <w:sz w:val="20"/>
        </w:rPr>
        <w:t>functionalisation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of the coupling partners. This in turn reduces the number of synthetic steps involved in the synthetic route. Over the last decade, Cross </w:t>
      </w:r>
      <w:proofErr w:type="spellStart"/>
      <w:r w:rsidRPr="005F628E">
        <w:rPr>
          <w:rFonts w:ascii="Times New Roman" w:hAnsi="Times New Roman" w:cs="Times New Roman"/>
          <w:sz w:val="20"/>
        </w:rPr>
        <w:t>Dehydrogenative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Coupling </w:t>
      </w:r>
      <w:r w:rsidRPr="005F628E">
        <w:rPr>
          <w:rFonts w:ascii="Times New Roman" w:hAnsi="Times New Roman" w:cs="Times New Roman"/>
          <w:sz w:val="20"/>
        </w:rPr>
        <w:t xml:space="preserve">(CDC) has emerged as a powerful tool for the selective construction of C-C bonds, from simple and abundant C-H bonds </w:t>
      </w:r>
      <w:r w:rsidRPr="000643E7">
        <w:rPr>
          <w:rFonts w:ascii="Times New Roman" w:hAnsi="Times New Roman" w:cs="Times New Roman"/>
          <w:i/>
          <w:sz w:val="20"/>
        </w:rPr>
        <w:t>via</w:t>
      </w:r>
      <w:r w:rsidRPr="005F628E">
        <w:rPr>
          <w:rFonts w:ascii="Times New Roman" w:hAnsi="Times New Roman" w:cs="Times New Roman"/>
          <w:sz w:val="20"/>
        </w:rPr>
        <w:t xml:space="preserve"> tandem oxidation. However, some challenges remain to be solved. For instance, an external driving force in the form of a transition metal catalyst and/or sacrificial oxidant is required to overcome the unfavorable thermodynamics associated with forming a C-C bond and the accompanying loss of hydrogen (H</w:t>
      </w:r>
      <w:r w:rsidRPr="005F628E">
        <w:rPr>
          <w:rFonts w:ascii="Times New Roman" w:hAnsi="Times New Roman" w:cs="Times New Roman"/>
          <w:sz w:val="20"/>
          <w:vertAlign w:val="subscript"/>
        </w:rPr>
        <w:t>2</w:t>
      </w:r>
      <w:r w:rsidRPr="005F628E">
        <w:rPr>
          <w:rFonts w:ascii="Times New Roman" w:hAnsi="Times New Roman" w:cs="Times New Roman"/>
          <w:sz w:val="20"/>
        </w:rPr>
        <w:t>).</w:t>
      </w:r>
    </w:p>
    <w:p w:rsidR="005F628E" w:rsidRPr="005F628E" w:rsidRDefault="005F628E" w:rsidP="005F628E">
      <w:pPr>
        <w:jc w:val="center"/>
        <w:rPr>
          <w:rFonts w:ascii="Times New Roman" w:hAnsi="Times New Roman" w:cs="Times New Roman"/>
          <w:sz w:val="24"/>
        </w:rPr>
      </w:pPr>
      <w:r w:rsidRPr="005F628E">
        <w:rPr>
          <w:rFonts w:ascii="Times New Roman" w:hAnsi="Times New Roman" w:cs="Times New Roman"/>
          <w:sz w:val="24"/>
          <w:lang w:val="en-GB"/>
        </w:rPr>
        <w:object w:dxaOrig="11107" w:dyaOrig="2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25pt;height:98.3pt" o:ole="">
            <v:imagedata r:id="rId5" o:title=""/>
          </v:shape>
          <o:OLEObject Type="Embed" ProgID="ChemDraw.Document.6.0" ShapeID="_x0000_i1025" DrawAspect="Content" ObjectID="_1748078325" r:id="rId6"/>
        </w:object>
      </w:r>
    </w:p>
    <w:p w:rsidR="005F628E" w:rsidRPr="005F628E" w:rsidRDefault="005F628E" w:rsidP="005F628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5F628E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5F628E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</w:rPr>
        <w:t>Aryne</w:t>
      </w:r>
      <w:proofErr w:type="spellEnd"/>
      <w:r>
        <w:rPr>
          <w:rFonts w:ascii="Times New Roman" w:hAnsi="Times New Roman" w:cs="Times New Roman"/>
          <w:i/>
          <w:sz w:val="18"/>
        </w:rPr>
        <w:t xml:space="preserve">-mediated </w:t>
      </w:r>
      <w:proofErr w:type="gramStart"/>
      <w:r>
        <w:rPr>
          <w:rFonts w:ascii="Times New Roman" w:hAnsi="Times New Roman" w:cs="Times New Roman"/>
          <w:i/>
          <w:sz w:val="18"/>
        </w:rPr>
        <w:t>C(</w:t>
      </w:r>
      <w:proofErr w:type="gramEnd"/>
      <w:r>
        <w:rPr>
          <w:rFonts w:ascii="Times New Roman" w:hAnsi="Times New Roman" w:cs="Times New Roman"/>
          <w:i/>
          <w:sz w:val="18"/>
        </w:rPr>
        <w:t>sp</w:t>
      </w:r>
      <w:r w:rsidRPr="005F628E">
        <w:rPr>
          <w:rFonts w:ascii="Times New Roman" w:hAnsi="Times New Roman" w:cs="Times New Roman"/>
          <w:i/>
          <w:sz w:val="18"/>
          <w:vertAlign w:val="superscript"/>
        </w:rPr>
        <w:t>3</w:t>
      </w:r>
      <w:r w:rsidRPr="005F628E">
        <w:rPr>
          <w:rFonts w:ascii="Times New Roman" w:hAnsi="Times New Roman" w:cs="Times New Roman"/>
          <w:i/>
          <w:sz w:val="18"/>
        </w:rPr>
        <w:t>)-H functionalization.</w:t>
      </w:r>
    </w:p>
    <w:p w:rsidR="005F628E" w:rsidRPr="005F628E" w:rsidRDefault="005F628E" w:rsidP="005F628E">
      <w:pPr>
        <w:jc w:val="both"/>
        <w:rPr>
          <w:rFonts w:ascii="Times New Roman" w:hAnsi="Times New Roman" w:cs="Times New Roman"/>
          <w:sz w:val="20"/>
        </w:rPr>
      </w:pPr>
      <w:r w:rsidRPr="005F628E">
        <w:rPr>
          <w:rFonts w:ascii="Times New Roman" w:hAnsi="Times New Roman" w:cs="Times New Roman"/>
          <w:sz w:val="20"/>
        </w:rPr>
        <w:t xml:space="preserve">By exploiting the reactivity of transient </w:t>
      </w:r>
      <w:proofErr w:type="spellStart"/>
      <w:r w:rsidRPr="005F628E">
        <w:rPr>
          <w:rFonts w:ascii="Times New Roman" w:hAnsi="Times New Roman" w:cs="Times New Roman"/>
          <w:sz w:val="20"/>
        </w:rPr>
        <w:t>aryne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intermediates, a metal- free, redox-neutral approach to </w:t>
      </w:r>
      <w:proofErr w:type="gramStart"/>
      <w:r w:rsidRPr="005F628E">
        <w:rPr>
          <w:rFonts w:ascii="Times New Roman" w:hAnsi="Times New Roman" w:cs="Times New Roman"/>
          <w:sz w:val="20"/>
        </w:rPr>
        <w:t>C(</w:t>
      </w:r>
      <w:proofErr w:type="gramEnd"/>
      <w:r w:rsidRPr="005F628E">
        <w:rPr>
          <w:rFonts w:ascii="Times New Roman" w:hAnsi="Times New Roman" w:cs="Times New Roman"/>
          <w:sz w:val="20"/>
        </w:rPr>
        <w:t>sp</w:t>
      </w:r>
      <w:r w:rsidRPr="005F628E">
        <w:rPr>
          <w:rFonts w:ascii="Times New Roman" w:hAnsi="Times New Roman" w:cs="Times New Roman"/>
          <w:sz w:val="20"/>
          <w:vertAlign w:val="superscript"/>
        </w:rPr>
        <w:t>3</w:t>
      </w:r>
      <w:r w:rsidRPr="005F628E">
        <w:rPr>
          <w:rFonts w:ascii="Times New Roman" w:hAnsi="Times New Roman" w:cs="Times New Roman"/>
          <w:sz w:val="20"/>
        </w:rPr>
        <w:t>)-C(sp</w:t>
      </w:r>
      <w:r w:rsidRPr="005F628E">
        <w:rPr>
          <w:rFonts w:ascii="Times New Roman" w:hAnsi="Times New Roman" w:cs="Times New Roman"/>
          <w:sz w:val="20"/>
          <w:vertAlign w:val="superscript"/>
        </w:rPr>
        <w:t>3</w:t>
      </w:r>
      <w:r w:rsidRPr="005F628E">
        <w:rPr>
          <w:rFonts w:ascii="Times New Roman" w:hAnsi="Times New Roman" w:cs="Times New Roman"/>
          <w:sz w:val="20"/>
        </w:rPr>
        <w:t>/sp</w:t>
      </w:r>
      <w:r w:rsidRPr="005F628E">
        <w:rPr>
          <w:rFonts w:ascii="Times New Roman" w:hAnsi="Times New Roman" w:cs="Times New Roman"/>
          <w:sz w:val="20"/>
          <w:vertAlign w:val="superscript"/>
        </w:rPr>
        <w:t>2</w:t>
      </w:r>
      <w:r w:rsidRPr="005F628E">
        <w:rPr>
          <w:rFonts w:ascii="Times New Roman" w:hAnsi="Times New Roman" w:cs="Times New Roman"/>
          <w:sz w:val="20"/>
        </w:rPr>
        <w:t>/</w:t>
      </w:r>
      <w:proofErr w:type="spellStart"/>
      <w:r w:rsidRPr="005F628E">
        <w:rPr>
          <w:rFonts w:ascii="Times New Roman" w:hAnsi="Times New Roman" w:cs="Times New Roman"/>
          <w:sz w:val="20"/>
        </w:rPr>
        <w:t>sp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) coupling </w:t>
      </w:r>
      <w:r w:rsidRPr="000643E7">
        <w:rPr>
          <w:rFonts w:ascii="Times New Roman" w:hAnsi="Times New Roman" w:cs="Times New Roman"/>
          <w:i/>
          <w:sz w:val="20"/>
        </w:rPr>
        <w:t>via</w:t>
      </w:r>
      <w:r w:rsidRPr="005F628E">
        <w:rPr>
          <w:rFonts w:ascii="Times New Roman" w:hAnsi="Times New Roman" w:cs="Times New Roman"/>
          <w:sz w:val="20"/>
        </w:rPr>
        <w:t xml:space="preserve"> an </w:t>
      </w:r>
      <w:proofErr w:type="spellStart"/>
      <w:r w:rsidRPr="005F628E">
        <w:rPr>
          <w:rFonts w:ascii="Times New Roman" w:hAnsi="Times New Roman" w:cs="Times New Roman"/>
          <w:sz w:val="20"/>
        </w:rPr>
        <w:t>intramolecular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1,5-hydride transfer onto an </w:t>
      </w:r>
      <w:proofErr w:type="spellStart"/>
      <w:r w:rsidRPr="005F628E">
        <w:rPr>
          <w:rFonts w:ascii="Times New Roman" w:hAnsi="Times New Roman" w:cs="Times New Roman"/>
          <w:sz w:val="20"/>
        </w:rPr>
        <w:t>aryne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intermediate has been developed. Mechanistic studies have provided support for a zwitterion intermediate which activates a </w:t>
      </w:r>
      <w:proofErr w:type="spellStart"/>
      <w:r w:rsidRPr="005F628E">
        <w:rPr>
          <w:rFonts w:ascii="Times New Roman" w:hAnsi="Times New Roman" w:cs="Times New Roman"/>
          <w:sz w:val="20"/>
        </w:rPr>
        <w:t>pronucleophile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. Subsequent recombination yields the α-C-H functionalized amines. A diverse range of </w:t>
      </w:r>
      <w:proofErr w:type="spellStart"/>
      <w:r w:rsidRPr="005F628E">
        <w:rPr>
          <w:rFonts w:ascii="Times New Roman" w:hAnsi="Times New Roman" w:cs="Times New Roman"/>
          <w:sz w:val="20"/>
        </w:rPr>
        <w:t>pronucleophiles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have been demonstrated to be amenable to this new approach to CDC reactions which utilizes </w:t>
      </w:r>
      <w:proofErr w:type="spellStart"/>
      <w:r w:rsidRPr="005F628E">
        <w:rPr>
          <w:rFonts w:ascii="Times New Roman" w:hAnsi="Times New Roman" w:cs="Times New Roman"/>
          <w:sz w:val="20"/>
        </w:rPr>
        <w:t>aryne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intermediates. Preliminary work has shown that the </w:t>
      </w:r>
      <w:r>
        <w:rPr>
          <w:rFonts w:ascii="Times New Roman" w:hAnsi="Times New Roman" w:cs="Times New Roman"/>
          <w:sz w:val="20"/>
        </w:rPr>
        <w:t>scope can be extended beyond C-</w:t>
      </w:r>
      <w:r w:rsidRPr="005F628E">
        <w:rPr>
          <w:rFonts w:ascii="Times New Roman" w:hAnsi="Times New Roman" w:cs="Times New Roman"/>
          <w:sz w:val="20"/>
        </w:rPr>
        <w:t xml:space="preserve">C coupling with a number of examples of </w:t>
      </w:r>
      <w:proofErr w:type="spellStart"/>
      <w:r w:rsidRPr="005F628E">
        <w:rPr>
          <w:rFonts w:ascii="Times New Roman" w:hAnsi="Times New Roman" w:cs="Times New Roman"/>
          <w:sz w:val="20"/>
        </w:rPr>
        <w:t>phosphites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undergoing the cross </w:t>
      </w:r>
      <w:proofErr w:type="spellStart"/>
      <w:r w:rsidRPr="005F628E">
        <w:rPr>
          <w:rFonts w:ascii="Times New Roman" w:hAnsi="Times New Roman" w:cs="Times New Roman"/>
          <w:sz w:val="20"/>
        </w:rPr>
        <w:t>dehydrogenative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coupling with </w:t>
      </w:r>
      <w:proofErr w:type="spellStart"/>
      <w:r w:rsidRPr="005F628E">
        <w:rPr>
          <w:rFonts w:ascii="Times New Roman" w:hAnsi="Times New Roman" w:cs="Times New Roman"/>
          <w:sz w:val="20"/>
        </w:rPr>
        <w:t>tetrahydroisoquinoline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derivatives, furnishing α-</w:t>
      </w:r>
      <w:proofErr w:type="spellStart"/>
      <w:r w:rsidRPr="005F628E">
        <w:rPr>
          <w:rFonts w:ascii="Times New Roman" w:hAnsi="Times New Roman" w:cs="Times New Roman"/>
          <w:sz w:val="20"/>
        </w:rPr>
        <w:t>aminophosphonates</w:t>
      </w:r>
      <w:proofErr w:type="spellEnd"/>
      <w:r w:rsidRPr="005F628E">
        <w:rPr>
          <w:rFonts w:ascii="Times New Roman" w:hAnsi="Times New Roman" w:cs="Times New Roman"/>
          <w:sz w:val="20"/>
        </w:rPr>
        <w:t>.</w:t>
      </w:r>
    </w:p>
    <w:p w:rsidR="005F628E" w:rsidRPr="005F628E" w:rsidRDefault="005F628E" w:rsidP="005F628E">
      <w:pPr>
        <w:rPr>
          <w:rFonts w:ascii="Times New Roman" w:hAnsi="Times New Roman" w:cs="Times New Roman"/>
          <w:b/>
          <w:sz w:val="24"/>
        </w:rPr>
      </w:pPr>
      <w:r w:rsidRPr="005F628E">
        <w:rPr>
          <w:rFonts w:ascii="Times New Roman" w:hAnsi="Times New Roman" w:cs="Times New Roman"/>
          <w:b/>
          <w:sz w:val="24"/>
        </w:rPr>
        <w:t>Biography</w:t>
      </w:r>
    </w:p>
    <w:p w:rsidR="005F628E" w:rsidRPr="005F628E" w:rsidRDefault="005F628E" w:rsidP="005F628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F628E">
        <w:rPr>
          <w:rFonts w:ascii="Times New Roman" w:hAnsi="Times New Roman" w:cs="Times New Roman"/>
          <w:sz w:val="20"/>
        </w:rPr>
        <w:t>Khushal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F628E">
        <w:rPr>
          <w:rFonts w:ascii="Times New Roman" w:hAnsi="Times New Roman" w:cs="Times New Roman"/>
          <w:sz w:val="20"/>
        </w:rPr>
        <w:t>Siddiq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was born in </w:t>
      </w:r>
      <w:proofErr w:type="spellStart"/>
      <w:r w:rsidRPr="005F628E">
        <w:rPr>
          <w:rFonts w:ascii="Times New Roman" w:hAnsi="Times New Roman" w:cs="Times New Roman"/>
          <w:sz w:val="20"/>
        </w:rPr>
        <w:t>Samangan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Province of Afghanistan in 1999</w:t>
      </w:r>
      <w:r w:rsidR="000643E7">
        <w:rPr>
          <w:rFonts w:ascii="Times New Roman" w:hAnsi="Times New Roman" w:cs="Times New Roman"/>
          <w:sz w:val="20"/>
        </w:rPr>
        <w:t xml:space="preserve"> and</w:t>
      </w:r>
      <w:r w:rsidRPr="005F628E">
        <w:rPr>
          <w:rFonts w:ascii="Times New Roman" w:hAnsi="Times New Roman" w:cs="Times New Roman"/>
          <w:sz w:val="20"/>
        </w:rPr>
        <w:t xml:space="preserve"> migrated to England, Liverpool in 2009 and then to London in 2010 to attend secondary school. He graduated from University College London (UCL) in 2021 with a master’s degree in Organic Chemistry: Drug Discovery. Then he moved to Queen Mary University of London (QMUL) in 2022 to pursue a PhD in Organic Chemistry, currently working on extending the scope of ‘Metal-Free </w:t>
      </w:r>
      <w:proofErr w:type="spellStart"/>
      <w:r w:rsidRPr="005F628E">
        <w:rPr>
          <w:rFonts w:ascii="Times New Roman" w:hAnsi="Times New Roman" w:cs="Times New Roman"/>
          <w:sz w:val="20"/>
        </w:rPr>
        <w:t>Aryne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-Mediated Cross </w:t>
      </w:r>
      <w:proofErr w:type="spellStart"/>
      <w:r w:rsidRPr="005F628E">
        <w:rPr>
          <w:rFonts w:ascii="Times New Roman" w:hAnsi="Times New Roman" w:cs="Times New Roman"/>
          <w:sz w:val="20"/>
        </w:rPr>
        <w:t>Dehydrogenative</w:t>
      </w:r>
      <w:proofErr w:type="spellEnd"/>
      <w:r w:rsidRPr="005F628E">
        <w:rPr>
          <w:rFonts w:ascii="Times New Roman" w:hAnsi="Times New Roman" w:cs="Times New Roman"/>
          <w:sz w:val="20"/>
        </w:rPr>
        <w:t xml:space="preserve"> Coupling’ supervised by Dr</w:t>
      </w:r>
      <w:r w:rsidR="000643E7">
        <w:rPr>
          <w:rFonts w:ascii="Times New Roman" w:hAnsi="Times New Roman" w:cs="Times New Roman"/>
          <w:sz w:val="20"/>
        </w:rPr>
        <w:t>.</w:t>
      </w:r>
      <w:r w:rsidRPr="005F628E">
        <w:rPr>
          <w:rFonts w:ascii="Times New Roman" w:hAnsi="Times New Roman" w:cs="Times New Roman"/>
          <w:sz w:val="20"/>
        </w:rPr>
        <w:t xml:space="preserve"> Christopher R. Jones at the School of Physical and Chemical Sciences (SPCS).</w:t>
      </w:r>
    </w:p>
    <w:sectPr w:rsidR="005F628E" w:rsidRPr="005F6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8E"/>
    <w:rsid w:val="000643E7"/>
    <w:rsid w:val="0032354D"/>
    <w:rsid w:val="00474203"/>
    <w:rsid w:val="00535872"/>
    <w:rsid w:val="005F628E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2023-06-12T06:41:00Z</dcterms:created>
  <dcterms:modified xsi:type="dcterms:W3CDTF">2023-06-12T07:02:00Z</dcterms:modified>
</cp:coreProperties>
</file>