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D0BB1">
      <w:pPr>
        <w:rPr>
          <w:rFonts w:ascii="Times New Roman" w:hAnsi="Times New Roman" w:cs="Times New Roman"/>
          <w:b/>
          <w:sz w:val="32"/>
        </w:rPr>
      </w:pPr>
      <w:bookmarkStart w:id="0" w:name="_GoBack"/>
      <w:r w:rsidRPr="00CD0BB1">
        <w:rPr>
          <w:rFonts w:ascii="Times New Roman" w:hAnsi="Times New Roman" w:cs="Times New Roman"/>
          <w:b/>
          <w:sz w:val="32"/>
        </w:rPr>
        <w:t>Density functional theory and molecular dynamics simulation support newly designed reversible tyrosine kinase inhibitors targeting double mutant Epidermal Growth Factor Receptor (EGFR)</w:t>
      </w:r>
    </w:p>
    <w:p w:rsidR="00CD0BB1" w:rsidRDefault="00CD0BB1">
      <w:pPr>
        <w:rPr>
          <w:rFonts w:ascii="Times New Roman" w:hAnsi="Times New Roman" w:cs="Times New Roman"/>
          <w:sz w:val="24"/>
        </w:rPr>
      </w:pPr>
      <w:proofErr w:type="spellStart"/>
      <w:r w:rsidRPr="00CD0BB1">
        <w:rPr>
          <w:rFonts w:ascii="Times New Roman" w:hAnsi="Times New Roman" w:cs="Times New Roman"/>
          <w:sz w:val="24"/>
        </w:rPr>
        <w:t>Dorra</w:t>
      </w:r>
      <w:proofErr w:type="spellEnd"/>
      <w:r w:rsidRPr="00CD0BB1">
        <w:rPr>
          <w:rFonts w:ascii="Times New Roman" w:hAnsi="Times New Roman" w:cs="Times New Roman"/>
          <w:sz w:val="24"/>
        </w:rPr>
        <w:t xml:space="preserve"> </w:t>
      </w:r>
      <w:proofErr w:type="spellStart"/>
      <w:r w:rsidRPr="00CD0BB1">
        <w:rPr>
          <w:rFonts w:ascii="Times New Roman" w:hAnsi="Times New Roman" w:cs="Times New Roman"/>
          <w:sz w:val="24"/>
        </w:rPr>
        <w:t>Driss</w:t>
      </w:r>
      <w:proofErr w:type="spellEnd"/>
      <w:r>
        <w:rPr>
          <w:rFonts w:ascii="Times New Roman" w:hAnsi="Times New Roman" w:cs="Times New Roman"/>
          <w:sz w:val="24"/>
        </w:rPr>
        <w:t>*</w:t>
      </w:r>
      <w:r w:rsidRPr="00CD0BB1">
        <w:rPr>
          <w:rFonts w:ascii="Times New Roman" w:hAnsi="Times New Roman" w:cs="Times New Roman"/>
          <w:sz w:val="24"/>
        </w:rPr>
        <w:t xml:space="preserve">, </w:t>
      </w:r>
      <w:proofErr w:type="spellStart"/>
      <w:r w:rsidRPr="00CD0BB1">
        <w:rPr>
          <w:rFonts w:ascii="Times New Roman" w:hAnsi="Times New Roman" w:cs="Times New Roman"/>
          <w:sz w:val="24"/>
        </w:rPr>
        <w:t>Fakher</w:t>
      </w:r>
      <w:proofErr w:type="spellEnd"/>
      <w:r w:rsidRPr="00CD0BB1">
        <w:rPr>
          <w:rFonts w:ascii="Times New Roman" w:hAnsi="Times New Roman" w:cs="Times New Roman"/>
          <w:sz w:val="24"/>
        </w:rPr>
        <w:t xml:space="preserve"> </w:t>
      </w:r>
      <w:proofErr w:type="spellStart"/>
      <w:r w:rsidRPr="00CD0BB1">
        <w:rPr>
          <w:rFonts w:ascii="Times New Roman" w:hAnsi="Times New Roman" w:cs="Times New Roman"/>
          <w:sz w:val="24"/>
        </w:rPr>
        <w:t>frikha</w:t>
      </w:r>
      <w:proofErr w:type="spellEnd"/>
      <w:r w:rsidRPr="00CD0BB1">
        <w:rPr>
          <w:rFonts w:ascii="Times New Roman" w:hAnsi="Times New Roman" w:cs="Times New Roman"/>
          <w:sz w:val="24"/>
        </w:rPr>
        <w:t xml:space="preserve"> </w:t>
      </w:r>
      <w:r>
        <w:rPr>
          <w:rFonts w:ascii="Times New Roman" w:hAnsi="Times New Roman" w:cs="Times New Roman"/>
          <w:sz w:val="24"/>
        </w:rPr>
        <w:t>and</w:t>
      </w:r>
      <w:r w:rsidRPr="00CD0BB1">
        <w:rPr>
          <w:rFonts w:ascii="Times New Roman" w:hAnsi="Times New Roman" w:cs="Times New Roman"/>
          <w:sz w:val="24"/>
        </w:rPr>
        <w:t xml:space="preserve"> Mohamed Sami </w:t>
      </w:r>
      <w:proofErr w:type="spellStart"/>
      <w:r w:rsidRPr="00CD0BB1">
        <w:rPr>
          <w:rFonts w:ascii="Times New Roman" w:hAnsi="Times New Roman" w:cs="Times New Roman"/>
          <w:sz w:val="24"/>
        </w:rPr>
        <w:t>Aifa</w:t>
      </w:r>
      <w:proofErr w:type="spellEnd"/>
    </w:p>
    <w:p w:rsidR="00CD0BB1" w:rsidRPr="00CD0BB1" w:rsidRDefault="00CD0BB1">
      <w:pPr>
        <w:rPr>
          <w:rFonts w:ascii="Times New Roman" w:hAnsi="Times New Roman" w:cs="Times New Roman"/>
        </w:rPr>
      </w:pPr>
      <w:r w:rsidRPr="00CD0BB1">
        <w:rPr>
          <w:rFonts w:ascii="Times New Roman" w:hAnsi="Times New Roman" w:cs="Times New Roman"/>
        </w:rPr>
        <w:t xml:space="preserve">University of </w:t>
      </w:r>
      <w:proofErr w:type="spellStart"/>
      <w:r w:rsidRPr="00CD0BB1">
        <w:rPr>
          <w:rFonts w:ascii="Times New Roman" w:hAnsi="Times New Roman" w:cs="Times New Roman"/>
        </w:rPr>
        <w:t>Sfax</w:t>
      </w:r>
      <w:proofErr w:type="spellEnd"/>
      <w:r w:rsidRPr="00CD0BB1">
        <w:rPr>
          <w:rFonts w:ascii="Times New Roman" w:hAnsi="Times New Roman" w:cs="Times New Roman"/>
        </w:rPr>
        <w:t>, Tunisia</w:t>
      </w:r>
    </w:p>
    <w:p w:rsidR="00CD0BB1" w:rsidRPr="00CD0BB1" w:rsidRDefault="00CD0BB1" w:rsidP="00CD0BB1">
      <w:pPr>
        <w:jc w:val="center"/>
        <w:rPr>
          <w:rFonts w:ascii="Times New Roman" w:hAnsi="Times New Roman" w:cs="Times New Roman"/>
          <w:b/>
          <w:sz w:val="24"/>
        </w:rPr>
      </w:pPr>
      <w:r w:rsidRPr="00CD0BB1">
        <w:rPr>
          <w:rFonts w:ascii="Times New Roman" w:hAnsi="Times New Roman" w:cs="Times New Roman"/>
          <w:b/>
          <w:sz w:val="24"/>
        </w:rPr>
        <w:t>Abstract</w:t>
      </w:r>
    </w:p>
    <w:p w:rsidR="00CD0BB1" w:rsidRDefault="00CD0BB1" w:rsidP="00CD0BB1">
      <w:pPr>
        <w:jc w:val="both"/>
        <w:rPr>
          <w:rFonts w:ascii="Times New Roman" w:hAnsi="Times New Roman" w:cs="Times New Roman"/>
          <w:sz w:val="20"/>
        </w:rPr>
      </w:pPr>
      <w:r w:rsidRPr="00CD0BB1">
        <w:rPr>
          <w:rFonts w:ascii="Times New Roman" w:hAnsi="Times New Roman" w:cs="Times New Roman"/>
          <w:sz w:val="20"/>
        </w:rPr>
        <w:t xml:space="preserve">Non-Small Cell Lung Cancer (NSCLC) is a leading cause of death in the world. Epidermal Growth Factor Receptor (EGFR) is a well-characterized oncogene that was shown to be implicated in the development of NSCLC </w:t>
      </w:r>
      <w:r w:rsidRPr="00CD0BB1">
        <w:rPr>
          <w:rFonts w:ascii="Times New Roman" w:hAnsi="Times New Roman" w:cs="Times New Roman"/>
          <w:i/>
          <w:sz w:val="20"/>
        </w:rPr>
        <w:t>via</w:t>
      </w:r>
      <w:r w:rsidRPr="00CD0BB1">
        <w:rPr>
          <w:rFonts w:ascii="Times New Roman" w:hAnsi="Times New Roman" w:cs="Times New Roman"/>
          <w:sz w:val="20"/>
        </w:rPr>
        <w:t xml:space="preserve"> the acquisition of the L858R activating substitution. In this work, we aimed to identify novel reversible double mutant EGFR TKIs </w:t>
      </w:r>
      <w:r w:rsidRPr="00CD0BB1">
        <w:rPr>
          <w:rFonts w:ascii="Times New Roman" w:hAnsi="Times New Roman" w:cs="Times New Roman"/>
          <w:i/>
          <w:sz w:val="20"/>
        </w:rPr>
        <w:t>via</w:t>
      </w:r>
      <w:r w:rsidRPr="00CD0BB1">
        <w:rPr>
          <w:rFonts w:ascii="Times New Roman" w:hAnsi="Times New Roman" w:cs="Times New Roman"/>
          <w:sz w:val="20"/>
        </w:rPr>
        <w:t xml:space="preserve"> an </w:t>
      </w:r>
      <w:r w:rsidRPr="00CD0BB1">
        <w:rPr>
          <w:rFonts w:ascii="Times New Roman" w:hAnsi="Times New Roman" w:cs="Times New Roman"/>
          <w:i/>
          <w:sz w:val="20"/>
        </w:rPr>
        <w:t xml:space="preserve">in </w:t>
      </w:r>
      <w:proofErr w:type="spellStart"/>
      <w:r w:rsidRPr="00CD0BB1">
        <w:rPr>
          <w:rFonts w:ascii="Times New Roman" w:hAnsi="Times New Roman" w:cs="Times New Roman"/>
          <w:i/>
          <w:sz w:val="20"/>
        </w:rPr>
        <w:t>silico</w:t>
      </w:r>
      <w:proofErr w:type="spellEnd"/>
      <w:r w:rsidRPr="00CD0BB1">
        <w:rPr>
          <w:rFonts w:ascii="Times New Roman" w:hAnsi="Times New Roman" w:cs="Times New Roman"/>
          <w:sz w:val="20"/>
        </w:rPr>
        <w:t xml:space="preserve"> approach. First, a compound library containing more than 150000 kinase inhibitor analogs was subjected to an initial filtering step. The remaining molecules were tested </w:t>
      </w:r>
      <w:r w:rsidRPr="00CD0BB1">
        <w:rPr>
          <w:rFonts w:ascii="Times New Roman" w:hAnsi="Times New Roman" w:cs="Times New Roman"/>
          <w:i/>
          <w:sz w:val="20"/>
        </w:rPr>
        <w:t>via</w:t>
      </w:r>
      <w:r w:rsidRPr="00CD0BB1">
        <w:rPr>
          <w:rFonts w:ascii="Times New Roman" w:hAnsi="Times New Roman" w:cs="Times New Roman"/>
          <w:sz w:val="20"/>
        </w:rPr>
        <w:t xml:space="preserve"> high-throughput virtual screening that was carried out to identify the best inhibitors. Following this, a total of 15 hits were retained and their binding interactions and ADMET properties were determined. Finally, molecular dynamic studies were performed for the top 10 scoring compounds. Simulation analysis revealed that both molecules possessed interesting characteristics in terms of RMSD, RMSF, radius of gyration and hydrogen bonds formation. Of note, this study evaluated and established a library of compounds, top ranked virtual hit compounds binding reversibly to the double mutant EGFR enzyme can act as potent newly designed EGFR inhibitors in management of mutations of non-small cell lung cancer</w:t>
      </w:r>
      <w:r>
        <w:rPr>
          <w:rFonts w:ascii="Times New Roman" w:hAnsi="Times New Roman" w:cs="Times New Roman"/>
          <w:sz w:val="20"/>
        </w:rPr>
        <w:t xml:space="preserve"> [Figure 1]</w:t>
      </w:r>
      <w:r w:rsidRPr="00CD0BB1">
        <w:rPr>
          <w:rFonts w:ascii="Times New Roman" w:hAnsi="Times New Roman" w:cs="Times New Roman"/>
          <w:sz w:val="20"/>
        </w:rPr>
        <w:t>.</w:t>
      </w:r>
    </w:p>
    <w:p w:rsidR="00CD0BB1" w:rsidRDefault="00CD0BB1" w:rsidP="00CD0BB1">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4FF5BFCF">
            <wp:extent cx="2810510" cy="1713230"/>
            <wp:effectExtent l="0" t="0" r="889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10510" cy="1713230"/>
                    </a:xfrm>
                    <a:prstGeom prst="rect">
                      <a:avLst/>
                    </a:prstGeom>
                    <a:noFill/>
                  </pic:spPr>
                </pic:pic>
              </a:graphicData>
            </a:graphic>
          </wp:inline>
        </w:drawing>
      </w:r>
    </w:p>
    <w:p w:rsidR="00CD0BB1" w:rsidRPr="00CD0BB1" w:rsidRDefault="00CD0BB1" w:rsidP="00CD0BB1">
      <w:pPr>
        <w:jc w:val="center"/>
        <w:rPr>
          <w:rFonts w:ascii="Times New Roman" w:hAnsi="Times New Roman" w:cs="Times New Roman"/>
          <w:i/>
          <w:sz w:val="18"/>
        </w:rPr>
      </w:pPr>
      <w:proofErr w:type="gramStart"/>
      <w:r w:rsidRPr="00CD0BB1">
        <w:rPr>
          <w:rFonts w:ascii="Times New Roman" w:hAnsi="Times New Roman" w:cs="Times New Roman"/>
          <w:b/>
          <w:i/>
          <w:sz w:val="18"/>
        </w:rPr>
        <w:t>Figure 1.</w:t>
      </w:r>
      <w:proofErr w:type="gramEnd"/>
      <w:r w:rsidRPr="00CD0BB1">
        <w:rPr>
          <w:rFonts w:ascii="Times New Roman" w:hAnsi="Times New Roman" w:cs="Times New Roman"/>
          <w:i/>
          <w:sz w:val="18"/>
        </w:rPr>
        <w:t xml:space="preserve"> </w:t>
      </w:r>
      <w:proofErr w:type="gramStart"/>
      <w:r w:rsidRPr="00CD0BB1">
        <w:rPr>
          <w:rFonts w:ascii="Times New Roman" w:hAnsi="Times New Roman" w:cs="Times New Roman"/>
          <w:i/>
          <w:sz w:val="18"/>
        </w:rPr>
        <w:t>Simulation interaction diagram (2D) of best hit with the protein.</w:t>
      </w:r>
      <w:proofErr w:type="gramEnd"/>
      <w:r w:rsidRPr="00CD0BB1">
        <w:rPr>
          <w:rFonts w:ascii="Times New Roman" w:hAnsi="Times New Roman" w:cs="Times New Roman"/>
          <w:i/>
          <w:sz w:val="18"/>
        </w:rPr>
        <w:t xml:space="preserve"> Interactions that occur more than 30.0% of the simulation time in the selected trajectory (0.00 </w:t>
      </w:r>
      <w:proofErr w:type="gramStart"/>
      <w:r w:rsidRPr="00CD0BB1">
        <w:rPr>
          <w:rFonts w:ascii="Times New Roman" w:hAnsi="Times New Roman" w:cs="Times New Roman"/>
          <w:i/>
          <w:sz w:val="18"/>
        </w:rPr>
        <w:t>through 100.00 nanosecond</w:t>
      </w:r>
      <w:proofErr w:type="gramEnd"/>
      <w:r w:rsidRPr="00CD0BB1">
        <w:rPr>
          <w:rFonts w:ascii="Times New Roman" w:hAnsi="Times New Roman" w:cs="Times New Roman"/>
          <w:i/>
          <w:sz w:val="18"/>
        </w:rPr>
        <w:t>).</w:t>
      </w:r>
    </w:p>
    <w:p w:rsidR="00CD0BB1" w:rsidRPr="00CD0BB1" w:rsidRDefault="00CD0BB1" w:rsidP="00CD0BB1">
      <w:pPr>
        <w:rPr>
          <w:rFonts w:ascii="Times New Roman" w:hAnsi="Times New Roman" w:cs="Times New Roman"/>
          <w:b/>
          <w:sz w:val="24"/>
        </w:rPr>
      </w:pPr>
      <w:r w:rsidRPr="00CD0BB1">
        <w:rPr>
          <w:rFonts w:ascii="Times New Roman" w:hAnsi="Times New Roman" w:cs="Times New Roman"/>
          <w:b/>
          <w:sz w:val="24"/>
        </w:rPr>
        <w:t>Biography</w:t>
      </w:r>
    </w:p>
    <w:p w:rsidR="00CD0BB1" w:rsidRPr="00CD0BB1" w:rsidRDefault="00CD0BB1" w:rsidP="00CD0BB1">
      <w:pPr>
        <w:jc w:val="both"/>
        <w:rPr>
          <w:rFonts w:ascii="Times New Roman" w:hAnsi="Times New Roman" w:cs="Times New Roman"/>
          <w:sz w:val="24"/>
        </w:rPr>
      </w:pPr>
      <w:proofErr w:type="spellStart"/>
      <w:r w:rsidRPr="00CD0BB1">
        <w:rPr>
          <w:rFonts w:ascii="Times New Roman" w:hAnsi="Times New Roman" w:cs="Times New Roman"/>
          <w:sz w:val="20"/>
        </w:rPr>
        <w:t>Dorra</w:t>
      </w:r>
      <w:proofErr w:type="spellEnd"/>
      <w:r w:rsidRPr="00CD0BB1">
        <w:rPr>
          <w:rFonts w:ascii="Times New Roman" w:hAnsi="Times New Roman" w:cs="Times New Roman"/>
          <w:sz w:val="20"/>
        </w:rPr>
        <w:t xml:space="preserve"> </w:t>
      </w:r>
      <w:proofErr w:type="spellStart"/>
      <w:r w:rsidRPr="00CD0BB1">
        <w:rPr>
          <w:rFonts w:ascii="Times New Roman" w:hAnsi="Times New Roman" w:cs="Times New Roman"/>
          <w:sz w:val="20"/>
        </w:rPr>
        <w:t>Driss</w:t>
      </w:r>
      <w:proofErr w:type="spellEnd"/>
      <w:r w:rsidRPr="00CD0BB1">
        <w:rPr>
          <w:rFonts w:ascii="Times New Roman" w:hAnsi="Times New Roman" w:cs="Times New Roman"/>
          <w:sz w:val="20"/>
        </w:rPr>
        <w:t xml:space="preserve"> is currently working as an assistant Researcher at Centre of Biotechnology of </w:t>
      </w:r>
      <w:proofErr w:type="spellStart"/>
      <w:r w:rsidRPr="00CD0BB1">
        <w:rPr>
          <w:rFonts w:ascii="Times New Roman" w:hAnsi="Times New Roman" w:cs="Times New Roman"/>
          <w:sz w:val="20"/>
        </w:rPr>
        <w:t>Sfax</w:t>
      </w:r>
      <w:proofErr w:type="spellEnd"/>
      <w:r w:rsidRPr="00CD0BB1">
        <w:rPr>
          <w:rFonts w:ascii="Times New Roman" w:hAnsi="Times New Roman" w:cs="Times New Roman"/>
          <w:sz w:val="20"/>
        </w:rPr>
        <w:t xml:space="preserve"> CBS-</w:t>
      </w:r>
      <w:proofErr w:type="spellStart"/>
      <w:r w:rsidRPr="00CD0BB1">
        <w:rPr>
          <w:rFonts w:ascii="Times New Roman" w:hAnsi="Times New Roman" w:cs="Times New Roman"/>
          <w:sz w:val="20"/>
        </w:rPr>
        <w:t>Sfax</w:t>
      </w:r>
      <w:proofErr w:type="spellEnd"/>
      <w:r w:rsidRPr="00CD0BB1">
        <w:rPr>
          <w:rFonts w:ascii="Times New Roman" w:hAnsi="Times New Roman" w:cs="Times New Roman"/>
          <w:sz w:val="20"/>
        </w:rPr>
        <w:t xml:space="preserve">, University of </w:t>
      </w:r>
      <w:proofErr w:type="spellStart"/>
      <w:r w:rsidRPr="00CD0BB1">
        <w:rPr>
          <w:rFonts w:ascii="Times New Roman" w:hAnsi="Times New Roman" w:cs="Times New Roman"/>
          <w:sz w:val="20"/>
        </w:rPr>
        <w:t>Sfax</w:t>
      </w:r>
      <w:proofErr w:type="spellEnd"/>
      <w:r w:rsidRPr="00CD0BB1">
        <w:rPr>
          <w:rFonts w:ascii="Times New Roman" w:hAnsi="Times New Roman" w:cs="Times New Roman"/>
          <w:sz w:val="20"/>
        </w:rPr>
        <w:t xml:space="preserve">. </w:t>
      </w:r>
      <w:r>
        <w:rPr>
          <w:rFonts w:ascii="Times New Roman" w:hAnsi="Times New Roman" w:cs="Times New Roman"/>
          <w:sz w:val="20"/>
        </w:rPr>
        <w:t>She</w:t>
      </w:r>
      <w:r w:rsidRPr="00CD0BB1">
        <w:rPr>
          <w:rFonts w:ascii="Times New Roman" w:hAnsi="Times New Roman" w:cs="Times New Roman"/>
          <w:sz w:val="20"/>
        </w:rPr>
        <w:t xml:space="preserve"> does research in Engineering, Biochemistry Computer Science and Signaling pathways science. </w:t>
      </w:r>
      <w:r>
        <w:rPr>
          <w:rFonts w:ascii="Times New Roman" w:hAnsi="Times New Roman" w:cs="Times New Roman"/>
          <w:sz w:val="20"/>
        </w:rPr>
        <w:t xml:space="preserve">Hers current projects are </w:t>
      </w:r>
      <w:r w:rsidRPr="00CD0BB1">
        <w:rPr>
          <w:rFonts w:ascii="Times New Roman" w:hAnsi="Times New Roman" w:cs="Times New Roman"/>
          <w:sz w:val="20"/>
        </w:rPr>
        <w:t xml:space="preserve">Targeting EGFR family kinases: development of new molecules: design, synthesis and </w:t>
      </w:r>
      <w:r w:rsidRPr="00CD0BB1">
        <w:rPr>
          <w:rFonts w:ascii="Times New Roman" w:hAnsi="Times New Roman" w:cs="Times New Roman"/>
          <w:i/>
          <w:sz w:val="20"/>
        </w:rPr>
        <w:t>in vitro</w:t>
      </w:r>
      <w:r w:rsidRPr="00CD0BB1">
        <w:rPr>
          <w:rFonts w:ascii="Times New Roman" w:hAnsi="Times New Roman" w:cs="Times New Roman"/>
          <w:sz w:val="20"/>
        </w:rPr>
        <w:t xml:space="preserve"> assays and Generating Active Human Kinases (ERBB family) Using </w:t>
      </w:r>
      <w:proofErr w:type="spellStart"/>
      <w:r w:rsidRPr="00CD0BB1">
        <w:rPr>
          <w:rFonts w:ascii="Times New Roman" w:hAnsi="Times New Roman" w:cs="Times New Roman"/>
          <w:sz w:val="20"/>
        </w:rPr>
        <w:t>Pichia</w:t>
      </w:r>
      <w:proofErr w:type="spellEnd"/>
      <w:r w:rsidRPr="00CD0BB1">
        <w:rPr>
          <w:rFonts w:ascii="Times New Roman" w:hAnsi="Times New Roman" w:cs="Times New Roman"/>
          <w:sz w:val="20"/>
        </w:rPr>
        <w:t xml:space="preserve"> </w:t>
      </w:r>
      <w:proofErr w:type="spellStart"/>
      <w:r w:rsidRPr="00CD0BB1">
        <w:rPr>
          <w:rFonts w:ascii="Times New Roman" w:hAnsi="Times New Roman" w:cs="Times New Roman"/>
          <w:sz w:val="20"/>
        </w:rPr>
        <w:t>Pastoris</w:t>
      </w:r>
      <w:proofErr w:type="spellEnd"/>
      <w:r w:rsidRPr="00CD0BB1">
        <w:rPr>
          <w:rFonts w:ascii="Times New Roman" w:hAnsi="Times New Roman" w:cs="Times New Roman"/>
          <w:sz w:val="20"/>
        </w:rPr>
        <w:t xml:space="preserve"> As A Host For Functional Assays And For Drug Discovery Purposes Investigating Possible Inhibitors That Can Be Used As Anticancer Agents.</w:t>
      </w:r>
      <w:bookmarkEnd w:id="0"/>
    </w:p>
    <w:sectPr w:rsidR="00CD0BB1" w:rsidRPr="00CD0B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BB1"/>
    <w:rsid w:val="002A40FB"/>
    <w:rsid w:val="00474203"/>
    <w:rsid w:val="00535872"/>
    <w:rsid w:val="00924B33"/>
    <w:rsid w:val="00CD0B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0B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0BB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0B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0B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342</Words>
  <Characters>1954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2023-01-09T05:14:00Z</dcterms:created>
  <dcterms:modified xsi:type="dcterms:W3CDTF">2023-01-09T05:26:00Z</dcterms:modified>
</cp:coreProperties>
</file>