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97E99">
      <w:pPr>
        <w:rPr>
          <w:rFonts w:ascii="Times New Roman" w:hAnsi="Times New Roman" w:cs="Times New Roman"/>
          <w:b/>
          <w:sz w:val="32"/>
        </w:rPr>
      </w:pPr>
      <w:r w:rsidRPr="00397E99">
        <w:rPr>
          <w:rFonts w:ascii="Times New Roman" w:hAnsi="Times New Roman" w:cs="Times New Roman"/>
          <w:b/>
          <w:sz w:val="32"/>
        </w:rPr>
        <w:t xml:space="preserve">Supplementation with two new standardized extracts of white tea or black and green tea alone or in combination with a </w:t>
      </w:r>
      <w:proofErr w:type="spellStart"/>
      <w:r w:rsidRPr="00397E99">
        <w:rPr>
          <w:rFonts w:ascii="Times New Roman" w:hAnsi="Times New Roman" w:cs="Times New Roman"/>
          <w:b/>
          <w:sz w:val="32"/>
        </w:rPr>
        <w:t>postbiotic</w:t>
      </w:r>
      <w:proofErr w:type="spellEnd"/>
      <w:r w:rsidRPr="00397E99">
        <w:rPr>
          <w:rFonts w:ascii="Times New Roman" w:hAnsi="Times New Roman" w:cs="Times New Roman"/>
          <w:b/>
          <w:sz w:val="32"/>
        </w:rPr>
        <w:t xml:space="preserve"> prevents the development of angiotensin II-induced hypertension in mice by reducing oxidative stress and improving endothelial function</w:t>
      </w:r>
    </w:p>
    <w:p w:rsidR="00397E99" w:rsidRDefault="00397E99">
      <w:pPr>
        <w:rPr>
          <w:rFonts w:ascii="Times New Roman" w:hAnsi="Times New Roman" w:cs="Times New Roman"/>
          <w:sz w:val="24"/>
        </w:rPr>
      </w:pPr>
      <w:proofErr w:type="spellStart"/>
      <w:r>
        <w:rPr>
          <w:rFonts w:ascii="Times New Roman" w:hAnsi="Times New Roman" w:cs="Times New Roman"/>
          <w:sz w:val="24"/>
        </w:rPr>
        <w:t>Fuente</w:t>
      </w:r>
      <w:proofErr w:type="spellEnd"/>
      <w:r>
        <w:rPr>
          <w:rFonts w:ascii="Times New Roman" w:hAnsi="Times New Roman" w:cs="Times New Roman"/>
          <w:sz w:val="24"/>
        </w:rPr>
        <w:t>-Munoz M*, Roman-</w:t>
      </w:r>
      <w:proofErr w:type="spellStart"/>
      <w:r>
        <w:rPr>
          <w:rFonts w:ascii="Times New Roman" w:hAnsi="Times New Roman" w:cs="Times New Roman"/>
          <w:sz w:val="24"/>
        </w:rPr>
        <w:t>Carmena</w:t>
      </w:r>
      <w:proofErr w:type="spellEnd"/>
      <w:r>
        <w:rPr>
          <w:rFonts w:ascii="Times New Roman" w:hAnsi="Times New Roman" w:cs="Times New Roman"/>
          <w:sz w:val="24"/>
        </w:rPr>
        <w:t xml:space="preserve"> M, </w:t>
      </w:r>
      <w:r w:rsidRPr="00397E99">
        <w:rPr>
          <w:rFonts w:ascii="Times New Roman" w:hAnsi="Times New Roman" w:cs="Times New Roman"/>
          <w:sz w:val="24"/>
        </w:rPr>
        <w:t>Amor S, Igles</w:t>
      </w:r>
      <w:r>
        <w:rPr>
          <w:rFonts w:ascii="Times New Roman" w:hAnsi="Times New Roman" w:cs="Times New Roman"/>
          <w:sz w:val="24"/>
        </w:rPr>
        <w:t>ias Cruz MC, Garcia-</w:t>
      </w:r>
      <w:proofErr w:type="spellStart"/>
      <w:r>
        <w:rPr>
          <w:rFonts w:ascii="Times New Roman" w:hAnsi="Times New Roman" w:cs="Times New Roman"/>
          <w:sz w:val="24"/>
        </w:rPr>
        <w:t>Villalon</w:t>
      </w:r>
      <w:proofErr w:type="spellEnd"/>
      <w:r>
        <w:rPr>
          <w:rFonts w:ascii="Times New Roman" w:hAnsi="Times New Roman" w:cs="Times New Roman"/>
          <w:sz w:val="24"/>
        </w:rPr>
        <w:t xml:space="preserve"> AL and </w:t>
      </w:r>
      <w:proofErr w:type="spellStart"/>
      <w:r>
        <w:rPr>
          <w:rFonts w:ascii="Times New Roman" w:hAnsi="Times New Roman" w:cs="Times New Roman"/>
          <w:sz w:val="24"/>
        </w:rPr>
        <w:t>Granado</w:t>
      </w:r>
      <w:proofErr w:type="spellEnd"/>
      <w:r>
        <w:rPr>
          <w:rFonts w:ascii="Times New Roman" w:hAnsi="Times New Roman" w:cs="Times New Roman"/>
          <w:sz w:val="24"/>
        </w:rPr>
        <w:t xml:space="preserve"> M</w:t>
      </w:r>
    </w:p>
    <w:p w:rsidR="00397E99" w:rsidRPr="00397E99" w:rsidRDefault="00397E99">
      <w:pPr>
        <w:rPr>
          <w:rFonts w:ascii="Times New Roman" w:hAnsi="Times New Roman" w:cs="Times New Roman"/>
        </w:rPr>
      </w:pPr>
      <w:r w:rsidRPr="00397E99">
        <w:rPr>
          <w:rFonts w:ascii="Times New Roman" w:hAnsi="Times New Roman" w:cs="Times New Roman"/>
        </w:rPr>
        <w:t>Autonomous University of Madrid, Spain</w:t>
      </w:r>
    </w:p>
    <w:p w:rsidR="00397E99" w:rsidRPr="00397E99" w:rsidRDefault="00397E99" w:rsidP="00397E99">
      <w:pPr>
        <w:jc w:val="center"/>
        <w:rPr>
          <w:rFonts w:ascii="Times New Roman" w:hAnsi="Times New Roman" w:cs="Times New Roman"/>
          <w:b/>
          <w:sz w:val="24"/>
        </w:rPr>
      </w:pPr>
      <w:r w:rsidRPr="00397E99">
        <w:rPr>
          <w:rFonts w:ascii="Times New Roman" w:hAnsi="Times New Roman" w:cs="Times New Roman"/>
          <w:b/>
          <w:sz w:val="24"/>
        </w:rPr>
        <w:t>Abstract</w:t>
      </w:r>
    </w:p>
    <w:p w:rsidR="00397E99" w:rsidRDefault="00397E99" w:rsidP="00397E99">
      <w:pPr>
        <w:jc w:val="both"/>
        <w:rPr>
          <w:rFonts w:ascii="Times New Roman" w:hAnsi="Times New Roman" w:cs="Times New Roman"/>
          <w:sz w:val="20"/>
          <w:highlight w:val="white"/>
        </w:rPr>
      </w:pPr>
      <w:r w:rsidRPr="00397E99">
        <w:rPr>
          <w:rFonts w:ascii="Times New Roman" w:hAnsi="Times New Roman" w:cs="Times New Roman"/>
          <w:sz w:val="20"/>
        </w:rPr>
        <w:t xml:space="preserve">Hypertension is one of the main risk factors for the development of cardiovascular diseases, particularly atherosclerosis, which is the most common cause of myocardial infarction and stroke. Hypertension is associated with increased circulating levels of </w:t>
      </w:r>
      <w:r w:rsidRPr="00397E99">
        <w:rPr>
          <w:rFonts w:ascii="Times New Roman" w:hAnsi="Times New Roman" w:cs="Times New Roman"/>
          <w:sz w:val="20"/>
        </w:rPr>
        <w:t xml:space="preserve">Angiotensin </w:t>
      </w:r>
      <w:r w:rsidRPr="00397E99">
        <w:rPr>
          <w:rFonts w:ascii="Times New Roman" w:hAnsi="Times New Roman" w:cs="Times New Roman"/>
          <w:sz w:val="20"/>
        </w:rPr>
        <w:t>II (</w:t>
      </w:r>
      <w:proofErr w:type="spellStart"/>
      <w:r w:rsidRPr="00397E99">
        <w:rPr>
          <w:rFonts w:ascii="Times New Roman" w:hAnsi="Times New Roman" w:cs="Times New Roman"/>
          <w:sz w:val="20"/>
        </w:rPr>
        <w:t>Ang</w:t>
      </w:r>
      <w:proofErr w:type="spellEnd"/>
      <w:r>
        <w:rPr>
          <w:rFonts w:ascii="Times New Roman" w:hAnsi="Times New Roman" w:cs="Times New Roman"/>
          <w:sz w:val="20"/>
        </w:rPr>
        <w:t xml:space="preserve"> </w:t>
      </w:r>
      <w:r w:rsidRPr="00397E99">
        <w:rPr>
          <w:rFonts w:ascii="Times New Roman" w:hAnsi="Times New Roman" w:cs="Times New Roman"/>
          <w:sz w:val="20"/>
        </w:rPr>
        <w:t xml:space="preserve">II) which produces, in the long term, structural and functional alterations including vascular remodeling due to increased extracellular matrix deposition and endothelial dysfunction. This condition is characterized by and an imbalance between the release of vasoconstrictors and vasodilators by the vascular endothelial cells. Tea and probiotics are reported to exert beneficial effects on </w:t>
      </w:r>
      <w:proofErr w:type="spellStart"/>
      <w:r w:rsidRPr="00397E99">
        <w:rPr>
          <w:rFonts w:ascii="Times New Roman" w:hAnsi="Times New Roman" w:cs="Times New Roman"/>
          <w:sz w:val="20"/>
        </w:rPr>
        <w:t>cardiometabolic</w:t>
      </w:r>
      <w:proofErr w:type="spellEnd"/>
      <w:r w:rsidRPr="00397E99">
        <w:rPr>
          <w:rFonts w:ascii="Times New Roman" w:hAnsi="Times New Roman" w:cs="Times New Roman"/>
          <w:sz w:val="20"/>
        </w:rPr>
        <w:t xml:space="preserve"> health and constitute a natural alternative to the conventional pharmacological treatments. Thus, the aim of this study was to ana</w:t>
      </w:r>
      <w:bookmarkStart w:id="0" w:name="_GoBack"/>
      <w:bookmarkEnd w:id="0"/>
      <w:r w:rsidRPr="00397E99">
        <w:rPr>
          <w:rFonts w:ascii="Times New Roman" w:hAnsi="Times New Roman" w:cs="Times New Roman"/>
          <w:sz w:val="20"/>
        </w:rPr>
        <w:t>lyze the possible beneficial effects of two new standardized tea extracts, one of white tea (AD</w:t>
      </w:r>
      <w:r>
        <w:rPr>
          <w:rFonts w:ascii="Times New Roman" w:hAnsi="Times New Roman" w:cs="Times New Roman"/>
          <w:sz w:val="20"/>
        </w:rPr>
        <w:t xml:space="preserve">M® White Tea Powdered </w:t>
      </w:r>
      <w:proofErr w:type="spellStart"/>
      <w:r>
        <w:rPr>
          <w:rFonts w:ascii="Times New Roman" w:hAnsi="Times New Roman" w:cs="Times New Roman"/>
          <w:sz w:val="20"/>
        </w:rPr>
        <w:t>Flavanols-</w:t>
      </w:r>
      <w:r w:rsidRPr="00397E99">
        <w:rPr>
          <w:rFonts w:ascii="Times New Roman" w:hAnsi="Times New Roman" w:cs="Times New Roman"/>
          <w:sz w:val="20"/>
        </w:rPr>
        <w:t>Xanthines</w:t>
      </w:r>
      <w:proofErr w:type="spellEnd"/>
      <w:r w:rsidRPr="00397E99">
        <w:rPr>
          <w:rFonts w:ascii="Times New Roman" w:hAnsi="Times New Roman" w:cs="Times New Roman"/>
          <w:sz w:val="20"/>
        </w:rPr>
        <w:t xml:space="preserve">: WT) and the other composed by a proprietary blend of black and green tea (ADM® Tea Complex; TC) administered, alone or in combination with a </w:t>
      </w:r>
      <w:proofErr w:type="spellStart"/>
      <w:r w:rsidRPr="00397E99">
        <w:rPr>
          <w:rFonts w:ascii="Times New Roman" w:hAnsi="Times New Roman" w:cs="Times New Roman"/>
          <w:sz w:val="20"/>
        </w:rPr>
        <w:t>postbiotic</w:t>
      </w:r>
      <w:proofErr w:type="spellEnd"/>
      <w:r w:rsidRPr="00397E99">
        <w:rPr>
          <w:rFonts w:ascii="Times New Roman" w:hAnsi="Times New Roman" w:cs="Times New Roman"/>
          <w:sz w:val="20"/>
        </w:rPr>
        <w:t xml:space="preserve"> derived from the BPL1 strain (ADM® HTBPL1), on cardiovascular alterations induced by </w:t>
      </w:r>
      <w:proofErr w:type="spellStart"/>
      <w:r w:rsidRPr="00397E99">
        <w:rPr>
          <w:rFonts w:ascii="Times New Roman" w:hAnsi="Times New Roman" w:cs="Times New Roman"/>
          <w:sz w:val="20"/>
        </w:rPr>
        <w:t>Ang</w:t>
      </w:r>
      <w:proofErr w:type="spellEnd"/>
      <w:r>
        <w:rPr>
          <w:rFonts w:ascii="Times New Roman" w:hAnsi="Times New Roman" w:cs="Times New Roman"/>
          <w:sz w:val="20"/>
        </w:rPr>
        <w:t xml:space="preserve"> </w:t>
      </w:r>
      <w:r w:rsidRPr="00397E99">
        <w:rPr>
          <w:rFonts w:ascii="Times New Roman" w:hAnsi="Times New Roman" w:cs="Times New Roman"/>
          <w:sz w:val="20"/>
        </w:rPr>
        <w:t xml:space="preserve">II infusion in mice. For this purpose, </w:t>
      </w:r>
      <w:r w:rsidRPr="00397E99">
        <w:rPr>
          <w:rFonts w:ascii="Times New Roman" w:hAnsi="Times New Roman" w:cs="Times New Roman"/>
          <w:sz w:val="20"/>
          <w:highlight w:val="white"/>
        </w:rPr>
        <w:t xml:space="preserve">16 weeks old C57BL/6J male mice were fed for 8 weeks with a standard diet or a diet supplemented with 1.6% of WT or TC. The </w:t>
      </w:r>
      <w:proofErr w:type="spellStart"/>
      <w:r w:rsidRPr="00397E99">
        <w:rPr>
          <w:rFonts w:ascii="Times New Roman" w:hAnsi="Times New Roman" w:cs="Times New Roman"/>
          <w:sz w:val="20"/>
          <w:highlight w:val="white"/>
        </w:rPr>
        <w:t>postbiotic</w:t>
      </w:r>
      <w:proofErr w:type="spellEnd"/>
      <w:r w:rsidRPr="00397E99">
        <w:rPr>
          <w:rFonts w:ascii="Times New Roman" w:hAnsi="Times New Roman" w:cs="Times New Roman"/>
          <w:sz w:val="20"/>
          <w:highlight w:val="white"/>
        </w:rPr>
        <w:t xml:space="preserve"> HTBPL1 was administered in the drinking water (10</w:t>
      </w:r>
      <w:r w:rsidRPr="00397E99">
        <w:rPr>
          <w:rFonts w:ascii="Times New Roman" w:hAnsi="Times New Roman" w:cs="Times New Roman"/>
          <w:sz w:val="20"/>
          <w:highlight w:val="white"/>
          <w:vertAlign w:val="superscript"/>
        </w:rPr>
        <w:t>10</w:t>
      </w:r>
      <w:r w:rsidRPr="00397E99">
        <w:rPr>
          <w:rFonts w:ascii="Times New Roman" w:hAnsi="Times New Roman" w:cs="Times New Roman"/>
          <w:sz w:val="20"/>
          <w:highlight w:val="white"/>
        </w:rPr>
        <w:t xml:space="preserve"> cells/animal/day). After five weeks of treatment osmotic </w:t>
      </w:r>
      <w:proofErr w:type="spellStart"/>
      <w:r w:rsidRPr="00397E99">
        <w:rPr>
          <w:rFonts w:ascii="Times New Roman" w:hAnsi="Times New Roman" w:cs="Times New Roman"/>
          <w:sz w:val="20"/>
          <w:highlight w:val="white"/>
        </w:rPr>
        <w:t>minipumps</w:t>
      </w:r>
      <w:proofErr w:type="spellEnd"/>
      <w:r w:rsidRPr="00397E99">
        <w:rPr>
          <w:rFonts w:ascii="Times New Roman" w:hAnsi="Times New Roman" w:cs="Times New Roman"/>
          <w:sz w:val="20"/>
          <w:highlight w:val="white"/>
        </w:rPr>
        <w:t xml:space="preserve"> were implanted subcutaneously to infuse either </w:t>
      </w:r>
      <w:proofErr w:type="spellStart"/>
      <w:r w:rsidRPr="00397E99">
        <w:rPr>
          <w:rFonts w:ascii="Times New Roman" w:hAnsi="Times New Roman" w:cs="Times New Roman"/>
          <w:sz w:val="20"/>
          <w:highlight w:val="white"/>
        </w:rPr>
        <w:t>Ang</w:t>
      </w:r>
      <w:proofErr w:type="spellEnd"/>
      <w:r>
        <w:rPr>
          <w:rFonts w:ascii="Times New Roman" w:hAnsi="Times New Roman" w:cs="Times New Roman"/>
          <w:sz w:val="20"/>
          <w:highlight w:val="white"/>
        </w:rPr>
        <w:t xml:space="preserve"> </w:t>
      </w:r>
      <w:r w:rsidRPr="00397E99">
        <w:rPr>
          <w:rFonts w:ascii="Times New Roman" w:hAnsi="Times New Roman" w:cs="Times New Roman"/>
          <w:sz w:val="20"/>
          <w:highlight w:val="white"/>
        </w:rPr>
        <w:t xml:space="preserve">II (1.44 mg/Kg/day) or saline for 28 days with an infusion rate </w:t>
      </w:r>
      <w:proofErr w:type="gramStart"/>
      <w:r w:rsidRPr="00397E99">
        <w:rPr>
          <w:rFonts w:ascii="Times New Roman" w:hAnsi="Times New Roman" w:cs="Times New Roman"/>
          <w:sz w:val="20"/>
          <w:highlight w:val="white"/>
        </w:rPr>
        <w:t>of 0.25</w:t>
      </w:r>
      <w:r>
        <w:rPr>
          <w:rFonts w:ascii="Times New Roman" w:hAnsi="Times New Roman" w:cs="Times New Roman"/>
          <w:sz w:val="20"/>
          <w:highlight w:val="white"/>
        </w:rPr>
        <w:t xml:space="preserve"> </w:t>
      </w:r>
      <w:r w:rsidRPr="00397E99">
        <w:rPr>
          <w:rFonts w:ascii="Times New Roman" w:hAnsi="Times New Roman" w:cs="Times New Roman"/>
          <w:sz w:val="20"/>
          <w:highlight w:val="white"/>
        </w:rPr>
        <w:t>µL/h</w:t>
      </w:r>
      <w:proofErr w:type="gramEnd"/>
      <w:r w:rsidRPr="00397E99">
        <w:rPr>
          <w:rFonts w:ascii="Times New Roman" w:hAnsi="Times New Roman" w:cs="Times New Roman"/>
          <w:sz w:val="20"/>
          <w:highlight w:val="white"/>
        </w:rPr>
        <w:t xml:space="preserve">. All treatments, alone or in combination, prevented the increased in systolic blood pressure induced by </w:t>
      </w:r>
      <w:proofErr w:type="spellStart"/>
      <w:r w:rsidRPr="00397E99">
        <w:rPr>
          <w:rFonts w:ascii="Times New Roman" w:hAnsi="Times New Roman" w:cs="Times New Roman"/>
          <w:sz w:val="20"/>
          <w:highlight w:val="white"/>
        </w:rPr>
        <w:t>Ang</w:t>
      </w:r>
      <w:proofErr w:type="spellEnd"/>
      <w:r>
        <w:rPr>
          <w:rFonts w:ascii="Times New Roman" w:hAnsi="Times New Roman" w:cs="Times New Roman"/>
          <w:sz w:val="20"/>
          <w:highlight w:val="white"/>
        </w:rPr>
        <w:t xml:space="preserve"> </w:t>
      </w:r>
      <w:r w:rsidRPr="00397E99">
        <w:rPr>
          <w:rFonts w:ascii="Times New Roman" w:hAnsi="Times New Roman" w:cs="Times New Roman"/>
          <w:sz w:val="20"/>
          <w:highlight w:val="white"/>
        </w:rPr>
        <w:t>II and improved endothelial dysfunction in aortic segments, showing an increased vasodilator response to acetylcholine, decreased expression of pro-inflammatory cytokines such as IL-6, IL-1</w:t>
      </w:r>
      <w:r w:rsidRPr="00397E99">
        <w:rPr>
          <w:rFonts w:ascii="Times New Roman" w:hAnsi="Times New Roman" w:cs="Times New Roman"/>
          <w:sz w:val="20"/>
          <w:highlight w:val="white"/>
          <w:lang w:val="el-GR"/>
        </w:rPr>
        <w:t xml:space="preserve">β, TNF-α and MCP-1, increased expression of </w:t>
      </w:r>
      <w:r w:rsidRPr="00397E99">
        <w:rPr>
          <w:rFonts w:ascii="Times New Roman" w:hAnsi="Times New Roman" w:cs="Times New Roman"/>
          <w:sz w:val="20"/>
          <w:highlight w:val="white"/>
        </w:rPr>
        <w:t>anti-inflammatory cytokine IL-10 and decreased expression of pro-oxidant enzymes such as NOX-1 and NOX-4</w:t>
      </w:r>
      <w:r w:rsidRPr="00397E99">
        <w:rPr>
          <w:rFonts w:ascii="Times New Roman" w:hAnsi="Times New Roman" w:cs="Times New Roman"/>
          <w:sz w:val="20"/>
          <w:highlight w:val="white"/>
          <w:lang w:val="el-GR"/>
        </w:rPr>
        <w:t>. In conclusion, the supplementation with White Tea Powdered F</w:t>
      </w:r>
      <w:r>
        <w:rPr>
          <w:rFonts w:ascii="Times New Roman" w:hAnsi="Times New Roman" w:cs="Times New Roman"/>
          <w:sz w:val="20"/>
          <w:highlight w:val="white"/>
          <w:lang w:val="el-GR"/>
        </w:rPr>
        <w:t>lavanols-</w:t>
      </w:r>
      <w:r w:rsidRPr="00397E99">
        <w:rPr>
          <w:rFonts w:ascii="Times New Roman" w:hAnsi="Times New Roman" w:cs="Times New Roman"/>
          <w:sz w:val="20"/>
          <w:highlight w:val="white"/>
          <w:lang w:val="el-GR"/>
        </w:rPr>
        <w:t>Xanthines or Tea Complex</w:t>
      </w:r>
      <w:r w:rsidRPr="00397E99">
        <w:rPr>
          <w:rFonts w:ascii="Times New Roman" w:hAnsi="Times New Roman" w:cs="Times New Roman"/>
          <w:sz w:val="20"/>
          <w:highlight w:val="white"/>
        </w:rPr>
        <w:t xml:space="preserve">, alone </w:t>
      </w:r>
      <w:r w:rsidRPr="00397E99">
        <w:rPr>
          <w:rFonts w:ascii="Times New Roman" w:hAnsi="Times New Roman" w:cs="Times New Roman"/>
          <w:sz w:val="20"/>
          <w:highlight w:val="white"/>
        </w:rPr>
        <w:t>or</w:t>
      </w:r>
      <w:r w:rsidRPr="00397E99">
        <w:rPr>
          <w:rFonts w:ascii="Times New Roman" w:hAnsi="Times New Roman" w:cs="Times New Roman"/>
          <w:sz w:val="20"/>
          <w:highlight w:val="white"/>
        </w:rPr>
        <w:t xml:space="preserve"> in combination with the </w:t>
      </w:r>
      <w:proofErr w:type="spellStart"/>
      <w:r w:rsidRPr="00397E99">
        <w:rPr>
          <w:rFonts w:ascii="Times New Roman" w:hAnsi="Times New Roman" w:cs="Times New Roman"/>
          <w:sz w:val="20"/>
          <w:highlight w:val="white"/>
        </w:rPr>
        <w:t>postbiotic</w:t>
      </w:r>
      <w:proofErr w:type="spellEnd"/>
      <w:r w:rsidRPr="00397E99">
        <w:rPr>
          <w:rFonts w:ascii="Times New Roman" w:hAnsi="Times New Roman" w:cs="Times New Roman"/>
          <w:sz w:val="20"/>
          <w:highlight w:val="white"/>
        </w:rPr>
        <w:t xml:space="preserve"> HTBPL1,</w:t>
      </w:r>
      <w:r w:rsidRPr="00397E99">
        <w:rPr>
          <w:rFonts w:ascii="Times New Roman" w:hAnsi="Times New Roman" w:cs="Times New Roman"/>
          <w:sz w:val="20"/>
          <w:highlight w:val="white"/>
          <w:lang w:val="el-GR"/>
        </w:rPr>
        <w:t xml:space="preserve"> improves endothelial function and prevents the development of angiotensin II-induced </w:t>
      </w:r>
      <w:r w:rsidRPr="00397E99">
        <w:rPr>
          <w:rFonts w:ascii="Times New Roman" w:hAnsi="Times New Roman" w:cs="Times New Roman"/>
          <w:sz w:val="20"/>
          <w:highlight w:val="white"/>
        </w:rPr>
        <w:t xml:space="preserve">vascular alterations and </w:t>
      </w:r>
      <w:r w:rsidRPr="00397E99">
        <w:rPr>
          <w:rFonts w:ascii="Times New Roman" w:hAnsi="Times New Roman" w:cs="Times New Roman"/>
          <w:sz w:val="20"/>
          <w:highlight w:val="white"/>
          <w:lang w:val="el-GR"/>
        </w:rPr>
        <w:t xml:space="preserve">hypertension </w:t>
      </w:r>
      <w:r w:rsidRPr="00397E99">
        <w:rPr>
          <w:rFonts w:ascii="Times New Roman" w:hAnsi="Times New Roman" w:cs="Times New Roman"/>
          <w:sz w:val="20"/>
          <w:highlight w:val="white"/>
        </w:rPr>
        <w:t xml:space="preserve">in </w:t>
      </w:r>
      <w:r w:rsidRPr="00397E99">
        <w:rPr>
          <w:rFonts w:ascii="Times New Roman" w:hAnsi="Times New Roman" w:cs="Times New Roman"/>
          <w:sz w:val="20"/>
          <w:highlight w:val="white"/>
          <w:lang w:val="el-GR"/>
        </w:rPr>
        <w:t>mice possibl</w:t>
      </w:r>
      <w:r w:rsidRPr="00397E99">
        <w:rPr>
          <w:rFonts w:ascii="Times New Roman" w:hAnsi="Times New Roman" w:cs="Times New Roman"/>
          <w:sz w:val="20"/>
          <w:highlight w:val="white"/>
        </w:rPr>
        <w:t>y</w:t>
      </w:r>
      <w:r w:rsidRPr="00397E99">
        <w:rPr>
          <w:rFonts w:ascii="Times New Roman" w:hAnsi="Times New Roman" w:cs="Times New Roman"/>
          <w:sz w:val="20"/>
          <w:highlight w:val="white"/>
          <w:lang w:val="el-GR"/>
        </w:rPr>
        <w:t xml:space="preserve"> through their anti-inflammatory and antioxidant effects</w:t>
      </w:r>
      <w:r w:rsidR="00A17A2E">
        <w:rPr>
          <w:rFonts w:ascii="Times New Roman" w:hAnsi="Times New Roman" w:cs="Times New Roman"/>
          <w:sz w:val="20"/>
          <w:highlight w:val="white"/>
        </w:rPr>
        <w:t xml:space="preserve"> [Figure 1]</w:t>
      </w:r>
      <w:r w:rsidRPr="00397E99">
        <w:rPr>
          <w:rFonts w:ascii="Times New Roman" w:hAnsi="Times New Roman" w:cs="Times New Roman"/>
          <w:sz w:val="20"/>
          <w:highlight w:val="white"/>
          <w:lang w:val="el-GR"/>
        </w:rPr>
        <w:t>.</w:t>
      </w:r>
    </w:p>
    <w:p w:rsidR="00397E99" w:rsidRPr="00397E99" w:rsidRDefault="00397E99" w:rsidP="00397E99">
      <w:pPr>
        <w:jc w:val="center"/>
        <w:rPr>
          <w:rFonts w:ascii="Times New Roman" w:hAnsi="Times New Roman" w:cs="Times New Roman"/>
          <w:sz w:val="20"/>
          <w:highlight w:val="white"/>
        </w:rPr>
      </w:pPr>
      <w:r>
        <w:rPr>
          <w:rFonts w:ascii="Times New Roman" w:hAnsi="Times New Roman" w:cs="Times New Roman"/>
          <w:noProof/>
          <w:sz w:val="20"/>
        </w:rPr>
        <w:drawing>
          <wp:inline distT="0" distB="0" distL="0" distR="0">
            <wp:extent cx="2997641" cy="1455089"/>
            <wp:effectExtent l="0" t="0" r="0" b="0"/>
            <wp:docPr id="1" name="Picture 1" descr="C:\Users\swetha-s\Downloads\SWETHA\May 2023\11-05-2023\Nutraceuticals-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etha-s\Downloads\SWETHA\May 2023\11-05-2023\Nutraceuticals-2023\Fig 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95638" cy="1454116"/>
                    </a:xfrm>
                    <a:prstGeom prst="rect">
                      <a:avLst/>
                    </a:prstGeom>
                    <a:noFill/>
                    <a:ln>
                      <a:noFill/>
                    </a:ln>
                  </pic:spPr>
                </pic:pic>
              </a:graphicData>
            </a:graphic>
          </wp:inline>
        </w:drawing>
      </w:r>
    </w:p>
    <w:p w:rsidR="00397E99" w:rsidRPr="00397E99" w:rsidRDefault="00397E99" w:rsidP="00397E99">
      <w:pPr>
        <w:jc w:val="center"/>
        <w:rPr>
          <w:rFonts w:ascii="Times New Roman" w:hAnsi="Times New Roman" w:cs="Times New Roman"/>
          <w:i/>
          <w:sz w:val="18"/>
          <w:highlight w:val="white"/>
        </w:rPr>
      </w:pPr>
      <w:proofErr w:type="gramStart"/>
      <w:r w:rsidRPr="00397E99">
        <w:rPr>
          <w:rFonts w:ascii="Times New Roman" w:hAnsi="Times New Roman" w:cs="Times New Roman"/>
          <w:b/>
          <w:i/>
          <w:sz w:val="18"/>
          <w:highlight w:val="white"/>
        </w:rPr>
        <w:t>Figure 1.</w:t>
      </w:r>
      <w:proofErr w:type="gramEnd"/>
      <w:r w:rsidRPr="00397E99">
        <w:rPr>
          <w:rFonts w:ascii="Times New Roman" w:hAnsi="Times New Roman" w:cs="Times New Roman"/>
          <w:i/>
          <w:sz w:val="18"/>
          <w:highlight w:val="white"/>
        </w:rPr>
        <w:t xml:space="preserve"> </w:t>
      </w:r>
      <w:proofErr w:type="gramStart"/>
      <w:r w:rsidRPr="00397E99">
        <w:rPr>
          <w:rFonts w:ascii="Times New Roman" w:hAnsi="Times New Roman" w:cs="Times New Roman"/>
          <w:i/>
          <w:sz w:val="18"/>
          <w:highlight w:val="white"/>
        </w:rPr>
        <w:t>Principal effects of hypertension.</w:t>
      </w:r>
      <w:proofErr w:type="gramEnd"/>
    </w:p>
    <w:p w:rsidR="00397E99" w:rsidRPr="00397E99" w:rsidRDefault="00397E99" w:rsidP="00397E99">
      <w:pPr>
        <w:rPr>
          <w:rFonts w:ascii="Times New Roman" w:hAnsi="Times New Roman" w:cs="Times New Roman"/>
          <w:b/>
          <w:sz w:val="24"/>
          <w:highlight w:val="white"/>
        </w:rPr>
      </w:pPr>
      <w:r w:rsidRPr="00397E99">
        <w:rPr>
          <w:rFonts w:ascii="Times New Roman" w:hAnsi="Times New Roman" w:cs="Times New Roman"/>
          <w:b/>
          <w:sz w:val="24"/>
          <w:highlight w:val="white"/>
        </w:rPr>
        <w:lastRenderedPageBreak/>
        <w:t>Biography</w:t>
      </w:r>
    </w:p>
    <w:p w:rsidR="00397E99" w:rsidRPr="00397E99" w:rsidRDefault="00397E99" w:rsidP="00397E99">
      <w:pPr>
        <w:jc w:val="both"/>
        <w:rPr>
          <w:rFonts w:ascii="Times New Roman" w:hAnsi="Times New Roman" w:cs="Times New Roman"/>
          <w:sz w:val="24"/>
        </w:rPr>
      </w:pPr>
      <w:proofErr w:type="spellStart"/>
      <w:r w:rsidRPr="00397E99">
        <w:rPr>
          <w:rFonts w:ascii="Times New Roman" w:hAnsi="Times New Roman" w:cs="Times New Roman"/>
          <w:sz w:val="20"/>
        </w:rPr>
        <w:t>Fuente</w:t>
      </w:r>
      <w:proofErr w:type="spellEnd"/>
      <w:r w:rsidRPr="00397E99">
        <w:rPr>
          <w:rFonts w:ascii="Times New Roman" w:hAnsi="Times New Roman" w:cs="Times New Roman"/>
          <w:sz w:val="20"/>
        </w:rPr>
        <w:t xml:space="preserve">-Munoz M </w:t>
      </w:r>
      <w:r>
        <w:rPr>
          <w:rFonts w:ascii="Times New Roman" w:hAnsi="Times New Roman" w:cs="Times New Roman"/>
          <w:sz w:val="20"/>
        </w:rPr>
        <w:t xml:space="preserve">holds </w:t>
      </w:r>
      <w:r w:rsidRPr="00397E99">
        <w:rPr>
          <w:rFonts w:ascii="Times New Roman" w:hAnsi="Times New Roman" w:cs="Times New Roman"/>
          <w:sz w:val="20"/>
        </w:rPr>
        <w:t xml:space="preserve">Degree in Biology from the Universidad Rey Juan Carlos, currently PhD student in the Department of Physiology at the Universidad </w:t>
      </w:r>
      <w:proofErr w:type="spellStart"/>
      <w:r w:rsidRPr="00397E99">
        <w:rPr>
          <w:rFonts w:ascii="Times New Roman" w:hAnsi="Times New Roman" w:cs="Times New Roman"/>
          <w:sz w:val="20"/>
        </w:rPr>
        <w:t>Autonoma</w:t>
      </w:r>
      <w:proofErr w:type="spellEnd"/>
      <w:r w:rsidRPr="00397E99">
        <w:rPr>
          <w:rFonts w:ascii="Times New Roman" w:hAnsi="Times New Roman" w:cs="Times New Roman"/>
          <w:sz w:val="20"/>
        </w:rPr>
        <w:t xml:space="preserve"> de Madrid with two articles published as first author.</w:t>
      </w:r>
    </w:p>
    <w:sectPr w:rsidR="00397E99" w:rsidRPr="00397E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E99"/>
    <w:rsid w:val="0032354D"/>
    <w:rsid w:val="00397E99"/>
    <w:rsid w:val="00474203"/>
    <w:rsid w:val="00535872"/>
    <w:rsid w:val="00924B33"/>
    <w:rsid w:val="00A17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7E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E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7E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E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2023-05-11T07:04:00Z</dcterms:created>
  <dcterms:modified xsi:type="dcterms:W3CDTF">2023-05-11T07:18:00Z</dcterms:modified>
</cp:coreProperties>
</file>