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1D3" w:rsidRPr="00D061D3" w:rsidRDefault="00D061D3" w:rsidP="00D061D3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D061D3">
        <w:rPr>
          <w:rFonts w:ascii="Times New Roman" w:hAnsi="Times New Roman" w:cs="Times New Roman"/>
          <w:b/>
          <w:sz w:val="32"/>
        </w:rPr>
        <w:t xml:space="preserve">Modified nonlocal boundary conditions for asymmetric vibrations of functionally graded annular </w:t>
      </w:r>
      <w:proofErr w:type="spellStart"/>
      <w:r w:rsidRPr="00D061D3">
        <w:rPr>
          <w:rFonts w:ascii="Times New Roman" w:hAnsi="Times New Roman" w:cs="Times New Roman"/>
          <w:b/>
          <w:sz w:val="32"/>
        </w:rPr>
        <w:t>nanoplates</w:t>
      </w:r>
      <w:proofErr w:type="spellEnd"/>
      <w:r w:rsidRPr="00D061D3">
        <w:rPr>
          <w:rFonts w:ascii="Times New Roman" w:hAnsi="Times New Roman" w:cs="Times New Roman"/>
          <w:b/>
          <w:sz w:val="32"/>
        </w:rPr>
        <w:t xml:space="preserve"> under thermal environment</w:t>
      </w:r>
    </w:p>
    <w:p w:rsidR="00D061D3" w:rsidRPr="00D061D3" w:rsidRDefault="00D061D3" w:rsidP="00D061D3">
      <w:pPr>
        <w:rPr>
          <w:rFonts w:ascii="Times New Roman" w:hAnsi="Times New Roman" w:cs="Times New Roman"/>
          <w:sz w:val="24"/>
        </w:rPr>
      </w:pPr>
      <w:r w:rsidRPr="00D061D3">
        <w:rPr>
          <w:rFonts w:ascii="Times New Roman" w:hAnsi="Times New Roman" w:cs="Times New Roman"/>
          <w:sz w:val="24"/>
        </w:rPr>
        <w:t xml:space="preserve">Rahul </w:t>
      </w:r>
      <w:proofErr w:type="spellStart"/>
      <w:r w:rsidRPr="00D061D3">
        <w:rPr>
          <w:rFonts w:ascii="Times New Roman" w:hAnsi="Times New Roman" w:cs="Times New Roman"/>
          <w:sz w:val="24"/>
        </w:rPr>
        <w:t>Saini</w:t>
      </w:r>
      <w:proofErr w:type="spellEnd"/>
    </w:p>
    <w:p w:rsidR="00D061D3" w:rsidRPr="009558A9" w:rsidRDefault="00D061D3" w:rsidP="00D061D3">
      <w:pPr>
        <w:rPr>
          <w:rFonts w:ascii="Times New Roman" w:hAnsi="Times New Roman" w:cs="Times New Roman"/>
        </w:rPr>
      </w:pPr>
      <w:proofErr w:type="spellStart"/>
      <w:r w:rsidRPr="009558A9">
        <w:rPr>
          <w:rFonts w:ascii="Times New Roman" w:hAnsi="Times New Roman" w:cs="Times New Roman"/>
        </w:rPr>
        <w:t>Hemvati</w:t>
      </w:r>
      <w:proofErr w:type="spellEnd"/>
      <w:r w:rsidRPr="009558A9">
        <w:rPr>
          <w:rFonts w:ascii="Times New Roman" w:hAnsi="Times New Roman" w:cs="Times New Roman"/>
        </w:rPr>
        <w:t xml:space="preserve"> </w:t>
      </w:r>
      <w:proofErr w:type="spellStart"/>
      <w:r w:rsidRPr="009558A9">
        <w:rPr>
          <w:rFonts w:ascii="Times New Roman" w:hAnsi="Times New Roman" w:cs="Times New Roman"/>
        </w:rPr>
        <w:t>Nandan</w:t>
      </w:r>
      <w:proofErr w:type="spellEnd"/>
      <w:r w:rsidRPr="009558A9">
        <w:rPr>
          <w:rFonts w:ascii="Times New Roman" w:hAnsi="Times New Roman" w:cs="Times New Roman"/>
        </w:rPr>
        <w:t xml:space="preserve"> </w:t>
      </w:r>
      <w:proofErr w:type="spellStart"/>
      <w:r w:rsidRPr="009558A9">
        <w:rPr>
          <w:rFonts w:ascii="Times New Roman" w:hAnsi="Times New Roman" w:cs="Times New Roman"/>
        </w:rPr>
        <w:t>Bahuguna</w:t>
      </w:r>
      <w:proofErr w:type="spellEnd"/>
      <w:r w:rsidRPr="009558A9">
        <w:rPr>
          <w:rFonts w:ascii="Times New Roman" w:hAnsi="Times New Roman" w:cs="Times New Roman"/>
        </w:rPr>
        <w:t xml:space="preserve"> </w:t>
      </w:r>
      <w:proofErr w:type="spellStart"/>
      <w:r w:rsidRPr="009558A9">
        <w:rPr>
          <w:rFonts w:ascii="Times New Roman" w:hAnsi="Times New Roman" w:cs="Times New Roman"/>
        </w:rPr>
        <w:t>Garhwal</w:t>
      </w:r>
      <w:proofErr w:type="spellEnd"/>
      <w:r w:rsidRPr="009558A9">
        <w:rPr>
          <w:rFonts w:ascii="Times New Roman" w:hAnsi="Times New Roman" w:cs="Times New Roman"/>
        </w:rPr>
        <w:t xml:space="preserve"> University</w:t>
      </w:r>
      <w:r w:rsidRPr="009558A9">
        <w:rPr>
          <w:rFonts w:ascii="Times New Roman" w:hAnsi="Times New Roman" w:cs="Times New Roman"/>
        </w:rPr>
        <w:t>, India</w:t>
      </w:r>
    </w:p>
    <w:p w:rsidR="00D061D3" w:rsidRPr="00D061D3" w:rsidRDefault="00D061D3" w:rsidP="00D061D3">
      <w:pPr>
        <w:jc w:val="center"/>
        <w:rPr>
          <w:rFonts w:ascii="Times New Roman" w:hAnsi="Times New Roman" w:cs="Times New Roman"/>
          <w:b/>
          <w:sz w:val="24"/>
        </w:rPr>
      </w:pPr>
      <w:r w:rsidRPr="00D061D3">
        <w:rPr>
          <w:rFonts w:ascii="Times New Roman" w:hAnsi="Times New Roman" w:cs="Times New Roman"/>
          <w:b/>
          <w:sz w:val="24"/>
        </w:rPr>
        <w:t>Abstract</w:t>
      </w:r>
    </w:p>
    <w:p w:rsidR="00D061D3" w:rsidRPr="00D061D3" w:rsidRDefault="00D061D3" w:rsidP="00D061D3">
      <w:pPr>
        <w:jc w:val="both"/>
        <w:rPr>
          <w:rFonts w:ascii="Times New Roman" w:hAnsi="Times New Roman" w:cs="Times New Roman"/>
          <w:sz w:val="20"/>
        </w:rPr>
      </w:pPr>
      <w:r w:rsidRPr="00D061D3">
        <w:rPr>
          <w:rFonts w:ascii="Times New Roman" w:hAnsi="Times New Roman" w:cs="Times New Roman"/>
          <w:sz w:val="20"/>
        </w:rPr>
        <w:t xml:space="preserve">The </w:t>
      </w:r>
      <w:proofErr w:type="spellStart"/>
      <w:r w:rsidRPr="00D061D3">
        <w:rPr>
          <w:rFonts w:ascii="Times New Roman" w:hAnsi="Times New Roman" w:cs="Times New Roman"/>
          <w:sz w:val="20"/>
        </w:rPr>
        <w:t>Eringen’s</w:t>
      </w:r>
      <w:proofErr w:type="spellEnd"/>
      <w:r w:rsidRPr="00D061D3">
        <w:rPr>
          <w:rFonts w:ascii="Times New Roman" w:hAnsi="Times New Roman" w:cs="Times New Roman"/>
          <w:sz w:val="20"/>
        </w:rPr>
        <w:t xml:space="preserve"> nonlocal theory shows paradoxes for free boundary conditions while studying the vibration, thermo</w:t>
      </w:r>
      <w:r>
        <w:rPr>
          <w:rFonts w:ascii="Times New Roman" w:hAnsi="Times New Roman" w:cs="Times New Roman"/>
          <w:sz w:val="20"/>
        </w:rPr>
        <w:t>-</w:t>
      </w:r>
      <w:r w:rsidRPr="00D061D3">
        <w:rPr>
          <w:rFonts w:ascii="Times New Roman" w:hAnsi="Times New Roman" w:cs="Times New Roman"/>
          <w:sz w:val="20"/>
        </w:rPr>
        <w:t xml:space="preserve">mechanical and bending behavior of </w:t>
      </w:r>
      <w:proofErr w:type="spellStart"/>
      <w:r w:rsidRPr="00D061D3">
        <w:rPr>
          <w:rFonts w:ascii="Times New Roman" w:hAnsi="Times New Roman" w:cs="Times New Roman"/>
          <w:sz w:val="20"/>
        </w:rPr>
        <w:t>nanobeams</w:t>
      </w:r>
      <w:proofErr w:type="spellEnd"/>
      <w:r w:rsidRPr="00D061D3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D061D3">
        <w:rPr>
          <w:rFonts w:ascii="Times New Roman" w:hAnsi="Times New Roman" w:cs="Times New Roman"/>
          <w:sz w:val="20"/>
        </w:rPr>
        <w:t>nanoplates</w:t>
      </w:r>
      <w:proofErr w:type="spellEnd"/>
      <w:r w:rsidRPr="00D061D3">
        <w:rPr>
          <w:rFonts w:ascii="Times New Roman" w:hAnsi="Times New Roman" w:cs="Times New Roman"/>
          <w:sz w:val="20"/>
        </w:rPr>
        <w:t xml:space="preserve">. To avoid this issue, the modified boundary conditions are developed for the free asymmetric vibrations of </w:t>
      </w:r>
      <w:r w:rsidRPr="00D061D3">
        <w:rPr>
          <w:rFonts w:ascii="Times New Roman" w:hAnsi="Times New Roman" w:cs="Times New Roman"/>
          <w:sz w:val="20"/>
        </w:rPr>
        <w:t xml:space="preserve">Functionally Graded </w:t>
      </w:r>
      <w:r w:rsidRPr="00D061D3">
        <w:rPr>
          <w:rFonts w:ascii="Times New Roman" w:hAnsi="Times New Roman" w:cs="Times New Roman"/>
          <w:sz w:val="20"/>
        </w:rPr>
        <w:t xml:space="preserve">(FG) annular </w:t>
      </w:r>
      <w:proofErr w:type="spellStart"/>
      <w:r w:rsidRPr="00D061D3">
        <w:rPr>
          <w:rFonts w:ascii="Times New Roman" w:hAnsi="Times New Roman" w:cs="Times New Roman"/>
          <w:sz w:val="20"/>
        </w:rPr>
        <w:t>nanoplates</w:t>
      </w:r>
      <w:proofErr w:type="spellEnd"/>
      <w:r w:rsidRPr="00D061D3">
        <w:rPr>
          <w:rFonts w:ascii="Times New Roman" w:hAnsi="Times New Roman" w:cs="Times New Roman"/>
          <w:sz w:val="20"/>
        </w:rPr>
        <w:t xml:space="preserve"> under thermal environment. Hamilton’s principle is used to obtain the governing e</w:t>
      </w:r>
      <w:r>
        <w:rPr>
          <w:rFonts w:ascii="Times New Roman" w:hAnsi="Times New Roman" w:cs="Times New Roman"/>
          <w:sz w:val="20"/>
        </w:rPr>
        <w:t>quations on the basis of first-</w:t>
      </w:r>
      <w:r w:rsidRPr="00D061D3">
        <w:rPr>
          <w:rFonts w:ascii="Times New Roman" w:hAnsi="Times New Roman" w:cs="Times New Roman"/>
          <w:sz w:val="20"/>
        </w:rPr>
        <w:t xml:space="preserve">order shear deformation theory together with </w:t>
      </w:r>
      <w:proofErr w:type="spellStart"/>
      <w:r w:rsidRPr="00D061D3">
        <w:rPr>
          <w:rFonts w:ascii="Times New Roman" w:hAnsi="Times New Roman" w:cs="Times New Roman"/>
          <w:sz w:val="20"/>
        </w:rPr>
        <w:t>Eringen’s</w:t>
      </w:r>
      <w:proofErr w:type="spellEnd"/>
      <w:r w:rsidRPr="00D061D3">
        <w:rPr>
          <w:rFonts w:ascii="Times New Roman" w:hAnsi="Times New Roman" w:cs="Times New Roman"/>
          <w:sz w:val="20"/>
        </w:rPr>
        <w:t xml:space="preserve"> nonlocal elasticity theory. The quadrature </w:t>
      </w:r>
      <w:r w:rsidRPr="00D061D3">
        <w:rPr>
          <w:rFonts w:ascii="Times New Roman" w:hAnsi="Times New Roman" w:cs="Times New Roman"/>
          <w:sz w:val="20"/>
        </w:rPr>
        <w:t xml:space="preserve">method along with the </w:t>
      </w:r>
      <w:proofErr w:type="spellStart"/>
      <w:r w:rsidRPr="00D061D3">
        <w:rPr>
          <w:rFonts w:ascii="Times New Roman" w:hAnsi="Times New Roman" w:cs="Times New Roman"/>
          <w:sz w:val="20"/>
        </w:rPr>
        <w:t>Chebyshev</w:t>
      </w:r>
      <w:proofErr w:type="spellEnd"/>
      <w:r w:rsidRPr="00D061D3">
        <w:rPr>
          <w:rFonts w:ascii="Times New Roman" w:hAnsi="Times New Roman" w:cs="Times New Roman"/>
          <w:sz w:val="20"/>
        </w:rPr>
        <w:t xml:space="preserve"> collocation method was</w:t>
      </w:r>
      <w:r w:rsidRPr="00D061D3">
        <w:rPr>
          <w:rFonts w:ascii="Times New Roman" w:hAnsi="Times New Roman" w:cs="Times New Roman"/>
          <w:sz w:val="20"/>
        </w:rPr>
        <w:t xml:space="preserve"> adopted. The </w:t>
      </w:r>
      <w:r w:rsidRPr="00D061D3">
        <w:rPr>
          <w:rFonts w:ascii="Times New Roman" w:hAnsi="Times New Roman" w:cs="Times New Roman"/>
          <w:sz w:val="20"/>
        </w:rPr>
        <w:t>choice of method is based on the rate of convergence of the method and then employs</w:t>
      </w:r>
      <w:r w:rsidRPr="00D061D3">
        <w:rPr>
          <w:rFonts w:ascii="Times New Roman" w:hAnsi="Times New Roman" w:cs="Times New Roman"/>
          <w:sz w:val="20"/>
        </w:rPr>
        <w:t xml:space="preserve"> the same to obtain the numerical values of frequencies. The effect of various parameters together with nonlocal boundary conditions on the non</w:t>
      </w:r>
      <w:r>
        <w:rPr>
          <w:rFonts w:ascii="Times New Roman" w:hAnsi="Times New Roman" w:cs="Times New Roman"/>
          <w:sz w:val="20"/>
        </w:rPr>
        <w:t>-</w:t>
      </w:r>
      <w:r w:rsidRPr="00D061D3">
        <w:rPr>
          <w:rFonts w:ascii="Times New Roman" w:hAnsi="Times New Roman" w:cs="Times New Roman"/>
          <w:sz w:val="20"/>
        </w:rPr>
        <w:t>dimensional frequencies was studied. The validation of results with those available in the literature is presented to validate the accuracy of the results and the efficiency of the authors’ technique.</w:t>
      </w:r>
    </w:p>
    <w:p w:rsidR="00D061D3" w:rsidRPr="00D061D3" w:rsidRDefault="00D061D3" w:rsidP="00D061D3">
      <w:pPr>
        <w:rPr>
          <w:rFonts w:ascii="Times New Roman" w:hAnsi="Times New Roman" w:cs="Times New Roman"/>
          <w:b/>
          <w:sz w:val="24"/>
        </w:rPr>
      </w:pPr>
      <w:r w:rsidRPr="00D061D3">
        <w:rPr>
          <w:rFonts w:ascii="Times New Roman" w:hAnsi="Times New Roman" w:cs="Times New Roman"/>
          <w:b/>
          <w:sz w:val="24"/>
        </w:rPr>
        <w:t>Biography</w:t>
      </w:r>
    </w:p>
    <w:p w:rsidR="00474203" w:rsidRPr="00D061D3" w:rsidRDefault="00D061D3" w:rsidP="00D061D3">
      <w:pPr>
        <w:jc w:val="both"/>
        <w:rPr>
          <w:rFonts w:ascii="Times New Roman" w:hAnsi="Times New Roman" w:cs="Times New Roman"/>
          <w:sz w:val="20"/>
        </w:rPr>
      </w:pPr>
      <w:r w:rsidRPr="00D061D3">
        <w:rPr>
          <w:rFonts w:ascii="Times New Roman" w:hAnsi="Times New Roman" w:cs="Times New Roman"/>
          <w:sz w:val="20"/>
        </w:rPr>
        <w:t xml:space="preserve">Rahul </w:t>
      </w:r>
      <w:proofErr w:type="spellStart"/>
      <w:r w:rsidRPr="00D061D3">
        <w:rPr>
          <w:rFonts w:ascii="Times New Roman" w:hAnsi="Times New Roman" w:cs="Times New Roman"/>
          <w:sz w:val="20"/>
        </w:rPr>
        <w:t>Saini</w:t>
      </w:r>
      <w:proofErr w:type="spellEnd"/>
      <w:r w:rsidRPr="00D061D3">
        <w:rPr>
          <w:rFonts w:ascii="Times New Roman" w:hAnsi="Times New Roman" w:cs="Times New Roman"/>
          <w:sz w:val="20"/>
        </w:rPr>
        <w:t xml:space="preserve"> has his expertise in vibration, buckling</w:t>
      </w:r>
      <w:r w:rsidR="009558A9">
        <w:rPr>
          <w:rFonts w:ascii="Times New Roman" w:hAnsi="Times New Roman" w:cs="Times New Roman"/>
          <w:sz w:val="20"/>
        </w:rPr>
        <w:t xml:space="preserve"> and</w:t>
      </w:r>
      <w:r w:rsidRPr="00D061D3">
        <w:rPr>
          <w:rFonts w:ascii="Times New Roman" w:hAnsi="Times New Roman" w:cs="Times New Roman"/>
          <w:sz w:val="20"/>
        </w:rPr>
        <w:t xml:space="preserve"> bending analysis of beams, plates, </w:t>
      </w:r>
      <w:proofErr w:type="spellStart"/>
      <w:r w:rsidRPr="00D061D3">
        <w:rPr>
          <w:rFonts w:ascii="Times New Roman" w:hAnsi="Times New Roman" w:cs="Times New Roman"/>
          <w:sz w:val="20"/>
        </w:rPr>
        <w:t>nanobeams</w:t>
      </w:r>
      <w:proofErr w:type="spellEnd"/>
      <w:r w:rsidRPr="00D061D3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D061D3">
        <w:rPr>
          <w:rFonts w:ascii="Times New Roman" w:hAnsi="Times New Roman" w:cs="Times New Roman"/>
          <w:sz w:val="20"/>
        </w:rPr>
        <w:t>nanoplates</w:t>
      </w:r>
      <w:proofErr w:type="spellEnd"/>
      <w:r w:rsidRPr="00D061D3">
        <w:rPr>
          <w:rFonts w:ascii="Times New Roman" w:hAnsi="Times New Roman" w:cs="Times New Roman"/>
          <w:sz w:val="20"/>
        </w:rPr>
        <w:t xml:space="preserve"> made of functio</w:t>
      </w:r>
      <w:r>
        <w:rPr>
          <w:rFonts w:ascii="Times New Roman" w:hAnsi="Times New Roman" w:cs="Times New Roman"/>
          <w:sz w:val="20"/>
        </w:rPr>
        <w:t>nally graded materials (</w:t>
      </w:r>
      <w:proofErr w:type="spellStart"/>
      <w:r>
        <w:rPr>
          <w:rFonts w:ascii="Times New Roman" w:hAnsi="Times New Roman" w:cs="Times New Roman"/>
          <w:sz w:val="20"/>
        </w:rPr>
        <w:t>ceramic</w:t>
      </w:r>
      <w:r w:rsidRPr="00D061D3">
        <w:rPr>
          <w:rFonts w:ascii="Times New Roman" w:hAnsi="Times New Roman" w:cs="Times New Roman"/>
          <w:sz w:val="20"/>
        </w:rPr>
        <w:t>+metal</w:t>
      </w:r>
      <w:proofErr w:type="spellEnd"/>
      <w:r w:rsidRPr="00D061D3">
        <w:rPr>
          <w:rFonts w:ascii="Times New Roman" w:hAnsi="Times New Roman" w:cs="Times New Roman"/>
          <w:sz w:val="20"/>
        </w:rPr>
        <w:t xml:space="preserve">). He has developed the codes of algorithms for numerical techniques used to solve the </w:t>
      </w:r>
      <w:proofErr w:type="spellStart"/>
      <w:r w:rsidRPr="00D061D3">
        <w:rPr>
          <w:rFonts w:ascii="Times New Roman" w:hAnsi="Times New Roman" w:cs="Times New Roman"/>
          <w:sz w:val="20"/>
        </w:rPr>
        <w:t>modelled</w:t>
      </w:r>
      <w:proofErr w:type="spellEnd"/>
      <w:r w:rsidRPr="00D061D3">
        <w:rPr>
          <w:rFonts w:ascii="Times New Roman" w:hAnsi="Times New Roman" w:cs="Times New Roman"/>
          <w:sz w:val="20"/>
        </w:rPr>
        <w:t xml:space="preserve"> differential equations. He has derived the modified boundary conditions to avoid the paradoxes in the </w:t>
      </w:r>
      <w:proofErr w:type="spellStart"/>
      <w:r w:rsidRPr="00D061D3">
        <w:rPr>
          <w:rFonts w:ascii="Times New Roman" w:hAnsi="Times New Roman" w:cs="Times New Roman"/>
          <w:sz w:val="20"/>
        </w:rPr>
        <w:t>nanoplates</w:t>
      </w:r>
      <w:proofErr w:type="spellEnd"/>
      <w:r w:rsidRPr="00D061D3">
        <w:rPr>
          <w:rFonts w:ascii="Times New Roman" w:hAnsi="Times New Roman" w:cs="Times New Roman"/>
          <w:sz w:val="20"/>
        </w:rPr>
        <w:t xml:space="preserve"> with free boundary conditions. He has built this model after years of experience in research, evaluation, teaching and administration in education institutions.</w:t>
      </w:r>
      <w:bookmarkEnd w:id="0"/>
    </w:p>
    <w:sectPr w:rsidR="00474203" w:rsidRPr="00D061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1D3"/>
    <w:rsid w:val="0032354D"/>
    <w:rsid w:val="00474203"/>
    <w:rsid w:val="00535872"/>
    <w:rsid w:val="00924B33"/>
    <w:rsid w:val="009558A9"/>
    <w:rsid w:val="00D0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2023-05-02T09:03:00Z</dcterms:created>
  <dcterms:modified xsi:type="dcterms:W3CDTF">2023-05-02T09:35:00Z</dcterms:modified>
</cp:coreProperties>
</file>