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6B8" w:rsidRPr="005375DB" w:rsidRDefault="006A26B8" w:rsidP="006A26B8">
      <w:pPr>
        <w:rPr>
          <w:rFonts w:ascii="Times New Roman" w:hAnsi="Times New Roman" w:cs="Times New Roman"/>
          <w:b/>
          <w:sz w:val="32"/>
        </w:rPr>
      </w:pPr>
      <w:r w:rsidRPr="005375DB">
        <w:rPr>
          <w:rFonts w:ascii="Times New Roman" w:hAnsi="Times New Roman" w:cs="Times New Roman"/>
          <w:b/>
          <w:sz w:val="32"/>
        </w:rPr>
        <w:t xml:space="preserve">A </w:t>
      </w:r>
      <w:proofErr w:type="spellStart"/>
      <w:r w:rsidR="005375DB" w:rsidRPr="005375DB">
        <w:rPr>
          <w:rFonts w:ascii="Times New Roman" w:hAnsi="Times New Roman" w:cs="Times New Roman"/>
          <w:b/>
          <w:sz w:val="32"/>
        </w:rPr>
        <w:t>telmisartan</w:t>
      </w:r>
      <w:proofErr w:type="spellEnd"/>
      <w:r w:rsidR="005375DB" w:rsidRPr="005375DB">
        <w:rPr>
          <w:rFonts w:ascii="Times New Roman" w:hAnsi="Times New Roman" w:cs="Times New Roman"/>
          <w:b/>
          <w:sz w:val="32"/>
        </w:rPr>
        <w:t xml:space="preserve"> </w:t>
      </w:r>
      <w:r w:rsidRPr="005375DB">
        <w:rPr>
          <w:rFonts w:ascii="Times New Roman" w:hAnsi="Times New Roman" w:cs="Times New Roman"/>
          <w:b/>
          <w:sz w:val="32"/>
        </w:rPr>
        <w:t xml:space="preserve">nano-formulation regulates multidimensional complications associated with </w:t>
      </w:r>
      <w:r w:rsidR="005375DB" w:rsidRPr="005375DB">
        <w:rPr>
          <w:rFonts w:ascii="Times New Roman" w:hAnsi="Times New Roman" w:cs="Times New Roman"/>
          <w:b/>
          <w:sz w:val="32"/>
        </w:rPr>
        <w:t xml:space="preserve">type </w:t>
      </w:r>
      <w:r w:rsidRPr="005375DB">
        <w:rPr>
          <w:rFonts w:ascii="Times New Roman" w:hAnsi="Times New Roman" w:cs="Times New Roman"/>
          <w:b/>
          <w:sz w:val="32"/>
        </w:rPr>
        <w:t xml:space="preserve">2 </w:t>
      </w:r>
      <w:r w:rsidR="005375DB" w:rsidRPr="005375DB">
        <w:rPr>
          <w:rFonts w:ascii="Times New Roman" w:hAnsi="Times New Roman" w:cs="Times New Roman"/>
          <w:b/>
          <w:sz w:val="32"/>
        </w:rPr>
        <w:t>diabetes mellitus</w:t>
      </w:r>
    </w:p>
    <w:p w:rsidR="006A26B8" w:rsidRPr="005375DB" w:rsidRDefault="006A26B8" w:rsidP="006A26B8">
      <w:pPr>
        <w:rPr>
          <w:rFonts w:ascii="Times New Roman" w:hAnsi="Times New Roman" w:cs="Times New Roman"/>
          <w:sz w:val="24"/>
        </w:rPr>
      </w:pPr>
      <w:r w:rsidRPr="005375DB">
        <w:rPr>
          <w:rFonts w:ascii="Times New Roman" w:hAnsi="Times New Roman" w:cs="Times New Roman"/>
          <w:sz w:val="24"/>
        </w:rPr>
        <w:t>Anjali Singh</w:t>
      </w:r>
      <w:r w:rsidR="005375DB">
        <w:rPr>
          <w:rFonts w:ascii="Times New Roman" w:hAnsi="Times New Roman" w:cs="Times New Roman"/>
          <w:sz w:val="24"/>
        </w:rPr>
        <w:t>*</w:t>
      </w:r>
      <w:r w:rsidRPr="005375DB">
        <w:rPr>
          <w:rFonts w:ascii="Times New Roman" w:hAnsi="Times New Roman" w:cs="Times New Roman"/>
          <w:sz w:val="24"/>
        </w:rPr>
        <w:t xml:space="preserve"> and</w:t>
      </w:r>
      <w:r w:rsidRPr="005375D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375DB">
        <w:rPr>
          <w:rFonts w:ascii="Times New Roman" w:hAnsi="Times New Roman" w:cs="Times New Roman"/>
          <w:sz w:val="24"/>
        </w:rPr>
        <w:t>Jayanta</w:t>
      </w:r>
      <w:proofErr w:type="spellEnd"/>
      <w:r w:rsidRPr="005375DB">
        <w:rPr>
          <w:rFonts w:ascii="Times New Roman" w:hAnsi="Times New Roman" w:cs="Times New Roman"/>
          <w:sz w:val="24"/>
        </w:rPr>
        <w:t xml:space="preserve"> Bhattacharyya</w:t>
      </w:r>
    </w:p>
    <w:p w:rsidR="006A26B8" w:rsidRPr="005375DB" w:rsidRDefault="005375DB" w:rsidP="006A26B8">
      <w:pPr>
        <w:rPr>
          <w:rFonts w:ascii="Times New Roman" w:hAnsi="Times New Roman" w:cs="Times New Roman"/>
        </w:rPr>
      </w:pPr>
      <w:r w:rsidRPr="005375DB">
        <w:rPr>
          <w:rFonts w:ascii="Times New Roman" w:hAnsi="Times New Roman" w:cs="Times New Roman"/>
        </w:rPr>
        <w:t>Indian Institute of Technology Delhi</w:t>
      </w:r>
      <w:r w:rsidR="006A26B8" w:rsidRPr="005375DB">
        <w:rPr>
          <w:rFonts w:ascii="Times New Roman" w:hAnsi="Times New Roman" w:cs="Times New Roman"/>
        </w:rPr>
        <w:t>, India</w:t>
      </w:r>
    </w:p>
    <w:p w:rsidR="006A26B8" w:rsidRPr="005375DB" w:rsidRDefault="006A26B8" w:rsidP="005375DB">
      <w:pPr>
        <w:jc w:val="center"/>
        <w:rPr>
          <w:rFonts w:ascii="Times New Roman" w:hAnsi="Times New Roman" w:cs="Times New Roman"/>
          <w:b/>
          <w:sz w:val="24"/>
        </w:rPr>
      </w:pPr>
      <w:r w:rsidRPr="005375DB">
        <w:rPr>
          <w:rFonts w:ascii="Times New Roman" w:hAnsi="Times New Roman" w:cs="Times New Roman"/>
          <w:b/>
          <w:sz w:val="24"/>
        </w:rPr>
        <w:t>Abstract</w:t>
      </w:r>
    </w:p>
    <w:p w:rsidR="00474203" w:rsidRDefault="006A26B8" w:rsidP="005375DB">
      <w:pPr>
        <w:jc w:val="both"/>
        <w:rPr>
          <w:rFonts w:ascii="Times New Roman" w:hAnsi="Times New Roman" w:cs="Times New Roman"/>
          <w:sz w:val="20"/>
        </w:rPr>
      </w:pPr>
      <w:r w:rsidRPr="005375DB">
        <w:rPr>
          <w:rFonts w:ascii="Times New Roman" w:hAnsi="Times New Roman" w:cs="Times New Roman"/>
          <w:sz w:val="20"/>
        </w:rPr>
        <w:t xml:space="preserve">Diabetes </w:t>
      </w:r>
      <w:r w:rsidR="005375DB" w:rsidRPr="005375DB">
        <w:rPr>
          <w:rFonts w:ascii="Times New Roman" w:hAnsi="Times New Roman" w:cs="Times New Roman"/>
          <w:sz w:val="20"/>
        </w:rPr>
        <w:t xml:space="preserve">Mellitus </w:t>
      </w:r>
      <w:r w:rsidRPr="005375DB">
        <w:rPr>
          <w:rFonts w:ascii="Times New Roman" w:hAnsi="Times New Roman" w:cs="Times New Roman"/>
          <w:sz w:val="20"/>
        </w:rPr>
        <w:t xml:space="preserve">(DM), diagnosed by the presence of high blood glucose levels, is associated with insulin resistance/insufficiency and pancreatic β cell death. The hallmarks of diabetes include </w:t>
      </w:r>
      <w:r w:rsidR="005375DB" w:rsidRPr="005375DB">
        <w:rPr>
          <w:rFonts w:ascii="Times New Roman" w:hAnsi="Times New Roman" w:cs="Times New Roman"/>
          <w:sz w:val="20"/>
        </w:rPr>
        <w:t xml:space="preserve">Reactive Oxygen Species </w:t>
      </w:r>
      <w:r w:rsidRPr="005375DB">
        <w:rPr>
          <w:rFonts w:ascii="Times New Roman" w:hAnsi="Times New Roman" w:cs="Times New Roman"/>
          <w:sz w:val="20"/>
        </w:rPr>
        <w:t xml:space="preserve">(ROS) formation, </w:t>
      </w:r>
      <w:r w:rsidR="005375DB" w:rsidRPr="005375DB">
        <w:rPr>
          <w:rFonts w:ascii="Times New Roman" w:hAnsi="Times New Roman" w:cs="Times New Roman"/>
          <w:sz w:val="20"/>
        </w:rPr>
        <w:t xml:space="preserve">Advanced </w:t>
      </w:r>
      <w:proofErr w:type="spellStart"/>
      <w:r w:rsidR="005375DB" w:rsidRPr="005375DB">
        <w:rPr>
          <w:rFonts w:ascii="Times New Roman" w:hAnsi="Times New Roman" w:cs="Times New Roman"/>
          <w:sz w:val="20"/>
        </w:rPr>
        <w:t>Glycation</w:t>
      </w:r>
      <w:proofErr w:type="spellEnd"/>
      <w:r w:rsidR="005375DB" w:rsidRPr="005375DB">
        <w:rPr>
          <w:rFonts w:ascii="Times New Roman" w:hAnsi="Times New Roman" w:cs="Times New Roman"/>
          <w:sz w:val="20"/>
        </w:rPr>
        <w:t xml:space="preserve"> End </w:t>
      </w:r>
      <w:r w:rsidRPr="005375DB">
        <w:rPr>
          <w:rFonts w:ascii="Times New Roman" w:hAnsi="Times New Roman" w:cs="Times New Roman"/>
          <w:sz w:val="20"/>
        </w:rPr>
        <w:t>products (AGEs) deposition, chronic low-grade inflammation</w:t>
      </w:r>
      <w:r w:rsidR="005375DB">
        <w:rPr>
          <w:rFonts w:ascii="Times New Roman" w:hAnsi="Times New Roman" w:cs="Times New Roman"/>
          <w:sz w:val="20"/>
        </w:rPr>
        <w:t xml:space="preserve"> and</w:t>
      </w:r>
      <w:r w:rsidRPr="005375DB">
        <w:rPr>
          <w:rFonts w:ascii="Times New Roman" w:hAnsi="Times New Roman" w:cs="Times New Roman"/>
          <w:sz w:val="20"/>
        </w:rPr>
        <w:t xml:space="preserve"> pancreatic β cell apoptosis originating from the abundance of free fatty acid and hyperglycemia. </w:t>
      </w:r>
      <w:proofErr w:type="spellStart"/>
      <w:r w:rsidRPr="005375DB">
        <w:rPr>
          <w:rFonts w:ascii="Times New Roman" w:hAnsi="Times New Roman" w:cs="Times New Roman"/>
          <w:sz w:val="20"/>
        </w:rPr>
        <w:t>Telmisartan</w:t>
      </w:r>
      <w:proofErr w:type="spellEnd"/>
      <w:r w:rsidRPr="005375DB">
        <w:rPr>
          <w:rFonts w:ascii="Times New Roman" w:hAnsi="Times New Roman" w:cs="Times New Roman"/>
          <w:sz w:val="20"/>
        </w:rPr>
        <w:t xml:space="preserve"> (TEL), an angiotensin II type 1 receptor antagonist, has been reported to restore fatty acid-induced oxidative balance, reduce insulin resistance, promote anti-inflammatory macrophage phenotype</w:t>
      </w:r>
      <w:r w:rsidR="005375DB">
        <w:rPr>
          <w:rFonts w:ascii="Times New Roman" w:hAnsi="Times New Roman" w:cs="Times New Roman"/>
          <w:sz w:val="20"/>
        </w:rPr>
        <w:t xml:space="preserve"> and</w:t>
      </w:r>
      <w:r w:rsidRPr="005375DB">
        <w:rPr>
          <w:rFonts w:ascii="Times New Roman" w:hAnsi="Times New Roman" w:cs="Times New Roman"/>
          <w:sz w:val="20"/>
        </w:rPr>
        <w:t xml:space="preserve"> maintain pancreatic islet morphology. However, TEL is associated with low solubility, short plasma half-life, limited bioavailability</w:t>
      </w:r>
      <w:r w:rsidR="005375DB">
        <w:rPr>
          <w:rFonts w:ascii="Times New Roman" w:hAnsi="Times New Roman" w:cs="Times New Roman"/>
          <w:sz w:val="20"/>
        </w:rPr>
        <w:t xml:space="preserve"> and</w:t>
      </w:r>
      <w:r w:rsidRPr="005375DB">
        <w:rPr>
          <w:rFonts w:ascii="Times New Roman" w:hAnsi="Times New Roman" w:cs="Times New Roman"/>
          <w:sz w:val="20"/>
        </w:rPr>
        <w:t xml:space="preserve"> non-specificity. These limitations of free TEL can be addressed by encapsulating it into a nano-sized delivery system. Exosomes are naturally derived extracellular nano</w:t>
      </w:r>
      <w:r w:rsidR="005375DB">
        <w:rPr>
          <w:rFonts w:ascii="Times New Roman" w:hAnsi="Times New Roman" w:cs="Times New Roman"/>
          <w:sz w:val="20"/>
        </w:rPr>
        <w:t xml:space="preserve"> </w:t>
      </w:r>
      <w:r w:rsidRPr="005375DB">
        <w:rPr>
          <w:rFonts w:ascii="Times New Roman" w:hAnsi="Times New Roman" w:cs="Times New Roman"/>
          <w:sz w:val="20"/>
        </w:rPr>
        <w:t>vesicles that hav</w:t>
      </w:r>
      <w:bookmarkStart w:id="0" w:name="_GoBack"/>
      <w:bookmarkEnd w:id="0"/>
      <w:r w:rsidRPr="005375DB">
        <w:rPr>
          <w:rFonts w:ascii="Times New Roman" w:hAnsi="Times New Roman" w:cs="Times New Roman"/>
          <w:sz w:val="20"/>
        </w:rPr>
        <w:t xml:space="preserve">e been reported for the delivery of various drugs including doxorubicin, </w:t>
      </w:r>
      <w:proofErr w:type="spellStart"/>
      <w:r w:rsidRPr="005375DB">
        <w:rPr>
          <w:rFonts w:ascii="Times New Roman" w:hAnsi="Times New Roman" w:cs="Times New Roman"/>
          <w:sz w:val="20"/>
        </w:rPr>
        <w:t>curcumin</w:t>
      </w:r>
      <w:proofErr w:type="spellEnd"/>
      <w:r w:rsidRPr="005375DB">
        <w:rPr>
          <w:rFonts w:ascii="Times New Roman" w:hAnsi="Times New Roman" w:cs="Times New Roman"/>
          <w:sz w:val="20"/>
        </w:rPr>
        <w:t xml:space="preserve">, paclitaxel, etc. Thus, </w:t>
      </w:r>
      <w:r w:rsidR="005375DB" w:rsidRPr="005375DB">
        <w:rPr>
          <w:rFonts w:ascii="Times New Roman" w:hAnsi="Times New Roman" w:cs="Times New Roman"/>
          <w:sz w:val="20"/>
        </w:rPr>
        <w:t xml:space="preserve">Mouse </w:t>
      </w:r>
      <w:proofErr w:type="spellStart"/>
      <w:r w:rsidR="005375DB" w:rsidRPr="005375DB">
        <w:rPr>
          <w:rFonts w:ascii="Times New Roman" w:hAnsi="Times New Roman" w:cs="Times New Roman"/>
          <w:sz w:val="20"/>
        </w:rPr>
        <w:t>Insulinoma</w:t>
      </w:r>
      <w:proofErr w:type="spellEnd"/>
      <w:r w:rsidR="005375DB" w:rsidRPr="005375DB">
        <w:rPr>
          <w:rFonts w:ascii="Times New Roman" w:hAnsi="Times New Roman" w:cs="Times New Roman"/>
          <w:sz w:val="20"/>
        </w:rPr>
        <w:t xml:space="preserve"> </w:t>
      </w:r>
      <w:r w:rsidRPr="005375DB">
        <w:rPr>
          <w:rFonts w:ascii="Times New Roman" w:hAnsi="Times New Roman" w:cs="Times New Roman"/>
          <w:sz w:val="20"/>
        </w:rPr>
        <w:t xml:space="preserve">cell (MIN6) derived </w:t>
      </w:r>
      <w:r w:rsidR="005375DB" w:rsidRPr="005375DB">
        <w:rPr>
          <w:rFonts w:ascii="Times New Roman" w:hAnsi="Times New Roman" w:cs="Times New Roman"/>
          <w:sz w:val="20"/>
        </w:rPr>
        <w:t xml:space="preserve">Exosomes </w:t>
      </w:r>
      <w:r w:rsidRPr="005375DB">
        <w:rPr>
          <w:rFonts w:ascii="Times New Roman" w:hAnsi="Times New Roman" w:cs="Times New Roman"/>
          <w:sz w:val="20"/>
        </w:rPr>
        <w:t>(</w:t>
      </w:r>
      <w:proofErr w:type="spellStart"/>
      <w:r w:rsidRPr="005375DB">
        <w:rPr>
          <w:rFonts w:ascii="Times New Roman" w:hAnsi="Times New Roman" w:cs="Times New Roman"/>
          <w:sz w:val="20"/>
        </w:rPr>
        <w:t>Exo</w:t>
      </w:r>
      <w:proofErr w:type="spellEnd"/>
      <w:r w:rsidRPr="005375DB">
        <w:rPr>
          <w:rFonts w:ascii="Times New Roman" w:hAnsi="Times New Roman" w:cs="Times New Roman"/>
          <w:sz w:val="20"/>
        </w:rPr>
        <w:t xml:space="preserve">) were exploited as the delivery vehicle to package TEL. Further, </w:t>
      </w:r>
      <w:proofErr w:type="spellStart"/>
      <w:r w:rsidRPr="005375DB">
        <w:rPr>
          <w:rFonts w:ascii="Times New Roman" w:hAnsi="Times New Roman" w:cs="Times New Roman"/>
          <w:sz w:val="20"/>
        </w:rPr>
        <w:t>Exo</w:t>
      </w:r>
      <w:proofErr w:type="spellEnd"/>
      <w:r w:rsidRPr="005375DB">
        <w:rPr>
          <w:rFonts w:ascii="Times New Roman" w:hAnsi="Times New Roman" w:cs="Times New Roman"/>
          <w:sz w:val="20"/>
        </w:rPr>
        <w:t xml:space="preserve"> is known to protect and induce the proliferation of insulin-secreting pancreatic β cells by reducing macrophage infiltration and enhancing angiogenesis. To</w:t>
      </w:r>
      <w:r w:rsidR="005375DB">
        <w:rPr>
          <w:rFonts w:ascii="Times New Roman" w:hAnsi="Times New Roman" w:cs="Times New Roman"/>
          <w:sz w:val="20"/>
        </w:rPr>
        <w:t xml:space="preserve"> this end, TEL-loaded </w:t>
      </w:r>
      <w:proofErr w:type="spellStart"/>
      <w:r w:rsidR="005375DB">
        <w:rPr>
          <w:rFonts w:ascii="Times New Roman" w:hAnsi="Times New Roman" w:cs="Times New Roman"/>
          <w:sz w:val="20"/>
        </w:rPr>
        <w:t>Exo</w:t>
      </w:r>
      <w:proofErr w:type="spellEnd"/>
      <w:r w:rsidR="005375DB">
        <w:rPr>
          <w:rFonts w:ascii="Times New Roman" w:hAnsi="Times New Roman" w:cs="Times New Roman"/>
          <w:sz w:val="20"/>
        </w:rPr>
        <w:t xml:space="preserve"> (</w:t>
      </w:r>
      <w:proofErr w:type="spellStart"/>
      <w:r w:rsidR="005375DB">
        <w:rPr>
          <w:rFonts w:ascii="Times New Roman" w:hAnsi="Times New Roman" w:cs="Times New Roman"/>
          <w:sz w:val="20"/>
        </w:rPr>
        <w:t>Exo</w:t>
      </w:r>
      <w:proofErr w:type="spellEnd"/>
      <w:r w:rsidR="005375DB">
        <w:rPr>
          <w:rFonts w:ascii="Times New Roman" w:hAnsi="Times New Roman" w:cs="Times New Roman"/>
          <w:sz w:val="20"/>
        </w:rPr>
        <w:t>-</w:t>
      </w:r>
      <w:r w:rsidRPr="005375DB">
        <w:rPr>
          <w:rFonts w:ascii="Times New Roman" w:hAnsi="Times New Roman" w:cs="Times New Roman"/>
          <w:sz w:val="20"/>
        </w:rPr>
        <w:t>TEL) was prepared</w:t>
      </w:r>
      <w:r w:rsidR="005375DB">
        <w:rPr>
          <w:rFonts w:ascii="Times New Roman" w:hAnsi="Times New Roman" w:cs="Times New Roman"/>
          <w:sz w:val="20"/>
        </w:rPr>
        <w:t xml:space="preserve"> and</w:t>
      </w:r>
      <w:r w:rsidRPr="005375DB">
        <w:rPr>
          <w:rFonts w:ascii="Times New Roman" w:hAnsi="Times New Roman" w:cs="Times New Roman"/>
          <w:sz w:val="20"/>
        </w:rPr>
        <w:t xml:space="preserve"> it showed excellent </w:t>
      </w:r>
      <w:r w:rsidRPr="005375DB">
        <w:rPr>
          <w:rFonts w:ascii="Times New Roman" w:hAnsi="Times New Roman" w:cs="Times New Roman"/>
          <w:i/>
          <w:sz w:val="20"/>
        </w:rPr>
        <w:t>in vitro</w:t>
      </w:r>
      <w:r w:rsidRPr="005375D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375DB">
        <w:rPr>
          <w:rFonts w:ascii="Times New Roman" w:hAnsi="Times New Roman" w:cs="Times New Roman"/>
          <w:sz w:val="20"/>
        </w:rPr>
        <w:t>cytocompatibility</w:t>
      </w:r>
      <w:proofErr w:type="spellEnd"/>
      <w:r w:rsidRPr="005375DB">
        <w:rPr>
          <w:rFonts w:ascii="Times New Roman" w:hAnsi="Times New Roman" w:cs="Times New Roman"/>
          <w:sz w:val="20"/>
        </w:rPr>
        <w:t xml:space="preserve"> on murine MIN6 and C2C12 cell lines. </w:t>
      </w:r>
      <w:r w:rsidRPr="005375DB">
        <w:rPr>
          <w:rFonts w:ascii="Times New Roman" w:hAnsi="Times New Roman" w:cs="Times New Roman"/>
          <w:i/>
          <w:sz w:val="20"/>
        </w:rPr>
        <w:t>In vitro</w:t>
      </w:r>
      <w:r w:rsidRPr="005375DB">
        <w:rPr>
          <w:rFonts w:ascii="Times New Roman" w:hAnsi="Times New Roman" w:cs="Times New Roman"/>
          <w:sz w:val="20"/>
        </w:rPr>
        <w:t xml:space="preserve"> stu</w:t>
      </w:r>
      <w:r w:rsidR="005375DB">
        <w:rPr>
          <w:rFonts w:ascii="Times New Roman" w:hAnsi="Times New Roman" w:cs="Times New Roman"/>
          <w:sz w:val="20"/>
        </w:rPr>
        <w:t xml:space="preserve">dy showed that </w:t>
      </w:r>
      <w:proofErr w:type="spellStart"/>
      <w:r w:rsidR="005375DB">
        <w:rPr>
          <w:rFonts w:ascii="Times New Roman" w:hAnsi="Times New Roman" w:cs="Times New Roman"/>
          <w:sz w:val="20"/>
        </w:rPr>
        <w:t>Exo</w:t>
      </w:r>
      <w:proofErr w:type="spellEnd"/>
      <w:r w:rsidR="005375DB">
        <w:rPr>
          <w:rFonts w:ascii="Times New Roman" w:hAnsi="Times New Roman" w:cs="Times New Roman"/>
          <w:sz w:val="20"/>
        </w:rPr>
        <w:t>-TEL nano-</w:t>
      </w:r>
      <w:r w:rsidRPr="005375DB">
        <w:rPr>
          <w:rFonts w:ascii="Times New Roman" w:hAnsi="Times New Roman" w:cs="Times New Roman"/>
          <w:sz w:val="20"/>
        </w:rPr>
        <w:t xml:space="preserve">formulation can effectively modulate oxidative balance by lowering the ROS level and increasing the NAD+/NADH ratio. Additionally, </w:t>
      </w:r>
      <w:proofErr w:type="spellStart"/>
      <w:r w:rsidRPr="005375DB">
        <w:rPr>
          <w:rFonts w:ascii="Times New Roman" w:hAnsi="Times New Roman" w:cs="Times New Roman"/>
          <w:sz w:val="20"/>
        </w:rPr>
        <w:t>Exo</w:t>
      </w:r>
      <w:proofErr w:type="spellEnd"/>
      <w:r w:rsidRPr="005375DB">
        <w:rPr>
          <w:rFonts w:ascii="Times New Roman" w:hAnsi="Times New Roman" w:cs="Times New Roman"/>
          <w:sz w:val="20"/>
        </w:rPr>
        <w:t xml:space="preserve">-TEL treatment increased the expression of </w:t>
      </w:r>
      <w:r w:rsidR="005375DB" w:rsidRPr="005375DB">
        <w:rPr>
          <w:rFonts w:ascii="Times New Roman" w:hAnsi="Times New Roman" w:cs="Times New Roman"/>
          <w:sz w:val="20"/>
        </w:rPr>
        <w:t xml:space="preserve">Glucose Transporter </w:t>
      </w:r>
      <w:r w:rsidRPr="005375DB">
        <w:rPr>
          <w:rFonts w:ascii="Times New Roman" w:hAnsi="Times New Roman" w:cs="Times New Roman"/>
          <w:sz w:val="20"/>
        </w:rPr>
        <w:t xml:space="preserve">(GLUT4) and promoted the uptake of glucose analog, 2-NBDG. Further, to overcome the arduous, low-yield process of </w:t>
      </w:r>
      <w:proofErr w:type="spellStart"/>
      <w:r w:rsidRPr="005375DB">
        <w:rPr>
          <w:rFonts w:ascii="Times New Roman" w:hAnsi="Times New Roman" w:cs="Times New Roman"/>
          <w:sz w:val="20"/>
        </w:rPr>
        <w:t>exosome</w:t>
      </w:r>
      <w:proofErr w:type="spellEnd"/>
      <w:r w:rsidRPr="005375DB">
        <w:rPr>
          <w:rFonts w:ascii="Times New Roman" w:hAnsi="Times New Roman" w:cs="Times New Roman"/>
          <w:sz w:val="20"/>
        </w:rPr>
        <w:t xml:space="preserve"> isolation, </w:t>
      </w:r>
      <w:proofErr w:type="spellStart"/>
      <w:r w:rsidR="005375DB" w:rsidRPr="005375DB">
        <w:rPr>
          <w:rFonts w:ascii="Times New Roman" w:hAnsi="Times New Roman" w:cs="Times New Roman"/>
          <w:sz w:val="20"/>
        </w:rPr>
        <w:t>Exosome</w:t>
      </w:r>
      <w:proofErr w:type="spellEnd"/>
      <w:r w:rsidRPr="005375DB">
        <w:rPr>
          <w:rFonts w:ascii="Times New Roman" w:hAnsi="Times New Roman" w:cs="Times New Roman"/>
          <w:sz w:val="20"/>
        </w:rPr>
        <w:t>-</w:t>
      </w:r>
      <w:r w:rsidR="005375DB" w:rsidRPr="005375DB">
        <w:rPr>
          <w:rFonts w:ascii="Times New Roman" w:hAnsi="Times New Roman" w:cs="Times New Roman"/>
          <w:sz w:val="20"/>
        </w:rPr>
        <w:t xml:space="preserve">Inspired </w:t>
      </w:r>
      <w:proofErr w:type="spellStart"/>
      <w:r w:rsidR="005375DB" w:rsidRPr="005375DB">
        <w:rPr>
          <w:rFonts w:ascii="Times New Roman" w:hAnsi="Times New Roman" w:cs="Times New Roman"/>
          <w:sz w:val="20"/>
        </w:rPr>
        <w:t>Nanovesicle</w:t>
      </w:r>
      <w:proofErr w:type="spellEnd"/>
      <w:r w:rsidR="005375DB" w:rsidRPr="005375DB">
        <w:rPr>
          <w:rFonts w:ascii="Times New Roman" w:hAnsi="Times New Roman" w:cs="Times New Roman"/>
          <w:sz w:val="20"/>
        </w:rPr>
        <w:t xml:space="preserve"> </w:t>
      </w:r>
      <w:r w:rsidRPr="005375DB">
        <w:rPr>
          <w:rFonts w:ascii="Times New Roman" w:hAnsi="Times New Roman" w:cs="Times New Roman"/>
          <w:sz w:val="20"/>
        </w:rPr>
        <w:t>(EIN), mimicking the lipid profile of the naturally derived exosomes, was developed.</w:t>
      </w:r>
      <w:r w:rsidR="005375DB">
        <w:rPr>
          <w:rFonts w:ascii="Times New Roman" w:hAnsi="Times New Roman" w:cs="Times New Roman"/>
          <w:sz w:val="20"/>
        </w:rPr>
        <w:t xml:space="preserve"> EIN-loaded TEL (EIN-TEL) nano-</w:t>
      </w:r>
      <w:r w:rsidRPr="005375DB">
        <w:rPr>
          <w:rFonts w:ascii="Times New Roman" w:hAnsi="Times New Roman" w:cs="Times New Roman"/>
          <w:sz w:val="20"/>
        </w:rPr>
        <w:t xml:space="preserve">Formulation depicted similar efficacy </w:t>
      </w:r>
      <w:r w:rsidRPr="005375DB">
        <w:rPr>
          <w:rFonts w:ascii="Times New Roman" w:hAnsi="Times New Roman" w:cs="Times New Roman"/>
          <w:i/>
          <w:sz w:val="20"/>
        </w:rPr>
        <w:t>in vitro</w:t>
      </w:r>
      <w:r w:rsidR="005375DB">
        <w:rPr>
          <w:rFonts w:ascii="Times New Roman" w:hAnsi="Times New Roman" w:cs="Times New Roman"/>
          <w:sz w:val="20"/>
        </w:rPr>
        <w:t xml:space="preserve"> as compared to </w:t>
      </w:r>
      <w:proofErr w:type="spellStart"/>
      <w:r w:rsidR="005375DB">
        <w:rPr>
          <w:rFonts w:ascii="Times New Roman" w:hAnsi="Times New Roman" w:cs="Times New Roman"/>
          <w:sz w:val="20"/>
        </w:rPr>
        <w:t>Exo</w:t>
      </w:r>
      <w:proofErr w:type="spellEnd"/>
      <w:r w:rsidR="005375DB">
        <w:rPr>
          <w:rFonts w:ascii="Times New Roman" w:hAnsi="Times New Roman" w:cs="Times New Roman"/>
          <w:sz w:val="20"/>
        </w:rPr>
        <w:t xml:space="preserve">-TEL. Hence, in conclusion, </w:t>
      </w:r>
      <w:proofErr w:type="spellStart"/>
      <w:r w:rsidR="005375DB">
        <w:rPr>
          <w:rFonts w:ascii="Times New Roman" w:hAnsi="Times New Roman" w:cs="Times New Roman"/>
          <w:sz w:val="20"/>
        </w:rPr>
        <w:t>Exo</w:t>
      </w:r>
      <w:proofErr w:type="spellEnd"/>
      <w:r w:rsidR="005375DB">
        <w:rPr>
          <w:rFonts w:ascii="Times New Roman" w:hAnsi="Times New Roman" w:cs="Times New Roman"/>
          <w:sz w:val="20"/>
        </w:rPr>
        <w:t>-</w:t>
      </w:r>
      <w:r w:rsidRPr="005375DB">
        <w:rPr>
          <w:rFonts w:ascii="Times New Roman" w:hAnsi="Times New Roman" w:cs="Times New Roman"/>
          <w:sz w:val="20"/>
        </w:rPr>
        <w:t>TEL and EIN-TEL successfully regulated multidimensional complications associated with diabetes to improve the therapeutic potential of TEL</w:t>
      </w:r>
      <w:r w:rsidR="005375DB">
        <w:rPr>
          <w:rFonts w:ascii="Times New Roman" w:hAnsi="Times New Roman" w:cs="Times New Roman"/>
          <w:sz w:val="20"/>
        </w:rPr>
        <w:t xml:space="preserve"> [Figure 1]</w:t>
      </w:r>
      <w:r w:rsidRPr="005375DB">
        <w:rPr>
          <w:rFonts w:ascii="Times New Roman" w:hAnsi="Times New Roman" w:cs="Times New Roman"/>
          <w:sz w:val="20"/>
        </w:rPr>
        <w:t>.</w:t>
      </w:r>
    </w:p>
    <w:p w:rsidR="005375DB" w:rsidRDefault="005375DB" w:rsidP="005375DB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23E6D1B">
            <wp:extent cx="3113785" cy="1653872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1654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75DB" w:rsidRPr="005375DB" w:rsidRDefault="005375DB" w:rsidP="005375DB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5375DB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5375DB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5375DB">
        <w:rPr>
          <w:rFonts w:ascii="Times New Roman" w:hAnsi="Times New Roman" w:cs="Times New Roman"/>
          <w:i/>
          <w:sz w:val="18"/>
        </w:rPr>
        <w:t>Graphical abstract.</w:t>
      </w:r>
      <w:proofErr w:type="gramEnd"/>
    </w:p>
    <w:p w:rsidR="005375DB" w:rsidRPr="005375DB" w:rsidRDefault="005375DB" w:rsidP="005375DB">
      <w:pPr>
        <w:rPr>
          <w:rFonts w:ascii="Times New Roman" w:hAnsi="Times New Roman" w:cs="Times New Roman"/>
          <w:b/>
          <w:sz w:val="24"/>
        </w:rPr>
      </w:pPr>
      <w:r w:rsidRPr="005375DB">
        <w:rPr>
          <w:rFonts w:ascii="Times New Roman" w:hAnsi="Times New Roman" w:cs="Times New Roman"/>
          <w:b/>
          <w:sz w:val="24"/>
        </w:rPr>
        <w:t>Biography</w:t>
      </w:r>
    </w:p>
    <w:p w:rsidR="005375DB" w:rsidRPr="005375DB" w:rsidRDefault="005375DB" w:rsidP="005375DB">
      <w:pPr>
        <w:jc w:val="both"/>
        <w:rPr>
          <w:rFonts w:ascii="Times New Roman" w:hAnsi="Times New Roman" w:cs="Times New Roman"/>
          <w:sz w:val="24"/>
        </w:rPr>
      </w:pPr>
      <w:r w:rsidRPr="005375DB">
        <w:rPr>
          <w:rFonts w:ascii="Times New Roman" w:hAnsi="Times New Roman" w:cs="Times New Roman"/>
          <w:sz w:val="20"/>
        </w:rPr>
        <w:t xml:space="preserve">Anjali Singh is currently a PhD student at the Centre for Biomedical Engineering, Indian Institute of Technology Delhi, New Delhi, India. She has been working in the Centre since 2018 under the supervision of Dr. </w:t>
      </w:r>
      <w:proofErr w:type="spellStart"/>
      <w:r w:rsidRPr="005375DB">
        <w:rPr>
          <w:rFonts w:ascii="Times New Roman" w:hAnsi="Times New Roman" w:cs="Times New Roman"/>
          <w:sz w:val="20"/>
        </w:rPr>
        <w:t>Jayanta</w:t>
      </w:r>
      <w:proofErr w:type="spellEnd"/>
      <w:r w:rsidRPr="005375DB">
        <w:rPr>
          <w:rFonts w:ascii="Times New Roman" w:hAnsi="Times New Roman" w:cs="Times New Roman"/>
          <w:sz w:val="20"/>
        </w:rPr>
        <w:t xml:space="preserve"> Bhattacharyya. She has been working towards the development of effective therapy for Diabetes Mellitus.</w:t>
      </w:r>
    </w:p>
    <w:sectPr w:rsidR="005375DB" w:rsidRPr="00537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6B8"/>
    <w:rsid w:val="0032354D"/>
    <w:rsid w:val="00474203"/>
    <w:rsid w:val="00535872"/>
    <w:rsid w:val="005375DB"/>
    <w:rsid w:val="006A26B8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7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5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7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5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2023-03-10T08:15:00Z</dcterms:created>
  <dcterms:modified xsi:type="dcterms:W3CDTF">2023-03-10T08:55:00Z</dcterms:modified>
</cp:coreProperties>
</file>