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4B6" w:rsidRDefault="00DA34B6" w:rsidP="00DA34B6">
      <w:pPr>
        <w:rPr>
          <w:rFonts w:ascii="Times New Roman" w:hAnsi="Times New Roman" w:cs="Times New Roman"/>
          <w:b/>
          <w:sz w:val="32"/>
        </w:rPr>
      </w:pPr>
      <w:bookmarkStart w:id="0" w:name="_GoBack"/>
      <w:r w:rsidRPr="00DA34B6">
        <w:rPr>
          <w:rFonts w:ascii="Times New Roman" w:hAnsi="Times New Roman" w:cs="Times New Roman"/>
          <w:b/>
          <w:sz w:val="32"/>
        </w:rPr>
        <w:t xml:space="preserve">Ethically sourced materials with </w:t>
      </w:r>
      <w:proofErr w:type="spellStart"/>
      <w:r w:rsidRPr="00DA34B6">
        <w:rPr>
          <w:rFonts w:ascii="Times New Roman" w:hAnsi="Times New Roman" w:cs="Times New Roman"/>
          <w:b/>
          <w:sz w:val="32"/>
        </w:rPr>
        <w:t>nanobio</w:t>
      </w:r>
      <w:proofErr w:type="spellEnd"/>
      <w:r w:rsidRPr="00DA34B6">
        <w:rPr>
          <w:rFonts w:ascii="Times New Roman" w:hAnsi="Times New Roman" w:cs="Times New Roman"/>
          <w:b/>
          <w:sz w:val="32"/>
        </w:rPr>
        <w:t>-technology towards affordable health</w:t>
      </w:r>
    </w:p>
    <w:p w:rsidR="00DA34B6" w:rsidRDefault="00DA34B6" w:rsidP="00DA34B6">
      <w:pPr>
        <w:rPr>
          <w:rFonts w:ascii="Times New Roman" w:hAnsi="Times New Roman" w:cs="Times New Roman"/>
          <w:sz w:val="24"/>
        </w:rPr>
      </w:pPr>
      <w:proofErr w:type="spellStart"/>
      <w:r w:rsidRPr="00DA34B6">
        <w:rPr>
          <w:rFonts w:ascii="Times New Roman" w:hAnsi="Times New Roman" w:cs="Times New Roman"/>
          <w:sz w:val="24"/>
        </w:rPr>
        <w:t>Santanu</w:t>
      </w:r>
      <w:proofErr w:type="spellEnd"/>
      <w:r w:rsidRPr="00DA34B6">
        <w:rPr>
          <w:rFonts w:ascii="Times New Roman" w:hAnsi="Times New Roman" w:cs="Times New Roman"/>
          <w:sz w:val="24"/>
        </w:rPr>
        <w:t xml:space="preserve"> </w:t>
      </w:r>
      <w:proofErr w:type="spellStart"/>
      <w:r w:rsidRPr="00DA34B6">
        <w:rPr>
          <w:rFonts w:ascii="Times New Roman" w:hAnsi="Times New Roman" w:cs="Times New Roman"/>
          <w:sz w:val="24"/>
        </w:rPr>
        <w:t>Dhara</w:t>
      </w:r>
      <w:proofErr w:type="spellEnd"/>
    </w:p>
    <w:p w:rsidR="00DA34B6" w:rsidRPr="00DA34B6" w:rsidRDefault="00DA34B6" w:rsidP="00DA34B6">
      <w:pPr>
        <w:rPr>
          <w:rFonts w:ascii="Times New Roman" w:hAnsi="Times New Roman" w:cs="Times New Roman"/>
        </w:rPr>
      </w:pPr>
      <w:r w:rsidRPr="00DA34B6">
        <w:rPr>
          <w:rFonts w:ascii="Times New Roman" w:hAnsi="Times New Roman" w:cs="Times New Roman"/>
        </w:rPr>
        <w:t xml:space="preserve">Indian Institute of Technology </w:t>
      </w:r>
      <w:proofErr w:type="spellStart"/>
      <w:r w:rsidRPr="00DA34B6">
        <w:rPr>
          <w:rFonts w:ascii="Times New Roman" w:hAnsi="Times New Roman" w:cs="Times New Roman"/>
        </w:rPr>
        <w:t>Kharagpur</w:t>
      </w:r>
      <w:proofErr w:type="spellEnd"/>
      <w:r w:rsidRPr="00DA34B6">
        <w:rPr>
          <w:rFonts w:ascii="Times New Roman" w:hAnsi="Times New Roman" w:cs="Times New Roman"/>
        </w:rPr>
        <w:t>, India</w:t>
      </w:r>
    </w:p>
    <w:p w:rsidR="00DA34B6" w:rsidRPr="00DA34B6" w:rsidRDefault="00DA34B6" w:rsidP="00DA34B6">
      <w:pPr>
        <w:jc w:val="center"/>
        <w:rPr>
          <w:rFonts w:ascii="Times New Roman" w:hAnsi="Times New Roman" w:cs="Times New Roman"/>
          <w:b/>
          <w:sz w:val="24"/>
        </w:rPr>
      </w:pPr>
      <w:r w:rsidRPr="00DA34B6">
        <w:rPr>
          <w:rFonts w:ascii="Times New Roman" w:hAnsi="Times New Roman" w:cs="Times New Roman"/>
          <w:b/>
          <w:sz w:val="24"/>
        </w:rPr>
        <w:t>Abstract</w:t>
      </w:r>
    </w:p>
    <w:p w:rsidR="00DA34B6" w:rsidRDefault="00DA34B6" w:rsidP="00DA34B6">
      <w:pPr>
        <w:jc w:val="both"/>
        <w:rPr>
          <w:rFonts w:ascii="Times New Roman" w:hAnsi="Times New Roman" w:cs="Times New Roman"/>
          <w:sz w:val="20"/>
        </w:rPr>
      </w:pPr>
      <w:proofErr w:type="spellStart"/>
      <w:r w:rsidRPr="00DA34B6">
        <w:rPr>
          <w:rFonts w:ascii="Times New Roman" w:hAnsi="Times New Roman" w:cs="Times New Roman"/>
          <w:sz w:val="20"/>
        </w:rPr>
        <w:t>BioMaterials</w:t>
      </w:r>
      <w:proofErr w:type="spellEnd"/>
      <w:r w:rsidRPr="00DA34B6">
        <w:rPr>
          <w:rFonts w:ascii="Times New Roman" w:hAnsi="Times New Roman" w:cs="Times New Roman"/>
          <w:sz w:val="20"/>
        </w:rPr>
        <w:t xml:space="preserve"> and Tissue Engineering (BMTE) was formed in the year 2007 at School of Medical Science and Technology with the main emphasis on product development research based on fundamental understanding of cell–material interactions and </w:t>
      </w:r>
      <w:r w:rsidRPr="00DA34B6">
        <w:rPr>
          <w:rFonts w:ascii="Times New Roman" w:hAnsi="Times New Roman" w:cs="Times New Roman"/>
          <w:i/>
          <w:sz w:val="20"/>
        </w:rPr>
        <w:t>in vivo</w:t>
      </w:r>
      <w:r w:rsidRPr="00DA34B6">
        <w:rPr>
          <w:rFonts w:ascii="Times New Roman" w:hAnsi="Times New Roman" w:cs="Times New Roman"/>
          <w:sz w:val="20"/>
        </w:rPr>
        <w:t xml:space="preserve"> response with preclinical model. BMTE is working on the development of customized implants through various top-down and bottom-up fabrication techniques. Primarily, the group is developing permanent implants for rehabilitation and biodegradable implants for tissue </w:t>
      </w:r>
      <w:r>
        <w:rPr>
          <w:rFonts w:ascii="Times New Roman" w:hAnsi="Times New Roman" w:cs="Times New Roman"/>
          <w:sz w:val="20"/>
        </w:rPr>
        <w:t>regeneration (Figure 1-</w:t>
      </w:r>
      <w:r w:rsidRPr="00DA34B6">
        <w:rPr>
          <w:rFonts w:ascii="Times New Roman" w:hAnsi="Times New Roman" w:cs="Times New Roman"/>
          <w:sz w:val="20"/>
        </w:rPr>
        <w:t>2).</w:t>
      </w:r>
    </w:p>
    <w:p w:rsidR="00DA34B6" w:rsidRDefault="00DA34B6" w:rsidP="00DA34B6">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F0813CC">
            <wp:extent cx="5952490" cy="11620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52490" cy="1162050"/>
                    </a:xfrm>
                    <a:prstGeom prst="rect">
                      <a:avLst/>
                    </a:prstGeom>
                    <a:noFill/>
                  </pic:spPr>
                </pic:pic>
              </a:graphicData>
            </a:graphic>
          </wp:inline>
        </w:drawing>
      </w:r>
    </w:p>
    <w:p w:rsidR="00DA34B6" w:rsidRPr="00B1794E" w:rsidRDefault="00DA34B6" w:rsidP="00DA34B6">
      <w:pPr>
        <w:jc w:val="center"/>
        <w:rPr>
          <w:rFonts w:ascii="Times New Roman" w:hAnsi="Times New Roman" w:cs="Times New Roman"/>
          <w:i/>
          <w:sz w:val="18"/>
        </w:rPr>
      </w:pPr>
      <w:proofErr w:type="gramStart"/>
      <w:r w:rsidRPr="00B1794E">
        <w:rPr>
          <w:rFonts w:ascii="Times New Roman" w:hAnsi="Times New Roman" w:cs="Times New Roman"/>
          <w:b/>
          <w:i/>
          <w:sz w:val="18"/>
        </w:rPr>
        <w:t>Figure 1.</w:t>
      </w:r>
      <w:proofErr w:type="gramEnd"/>
      <w:r w:rsidRPr="00B1794E">
        <w:rPr>
          <w:rFonts w:ascii="Times New Roman" w:hAnsi="Times New Roman" w:cs="Times New Roman"/>
          <w:i/>
          <w:sz w:val="18"/>
        </w:rPr>
        <w:t xml:space="preserve"> </w:t>
      </w:r>
      <w:proofErr w:type="gramStart"/>
      <w:r w:rsidRPr="00B1794E">
        <w:rPr>
          <w:rFonts w:ascii="Times New Roman" w:hAnsi="Times New Roman" w:cs="Times New Roman"/>
          <w:i/>
          <w:sz w:val="18"/>
        </w:rPr>
        <w:t>(a) Ti6Al4V micro-texture for tissue integration (b) Micro-texture at higher magnification (c) Nano-rods for bacteria static activity (d) Cellular adhesion and proliferation.</w:t>
      </w:r>
      <w:proofErr w:type="gramEnd"/>
    </w:p>
    <w:p w:rsidR="00DA34B6" w:rsidRDefault="00DA34B6" w:rsidP="00DA34B6">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0F8EF33">
            <wp:extent cx="5942965" cy="1971675"/>
            <wp:effectExtent l="0" t="0" r="63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2965" cy="1971675"/>
                    </a:xfrm>
                    <a:prstGeom prst="rect">
                      <a:avLst/>
                    </a:prstGeom>
                    <a:noFill/>
                  </pic:spPr>
                </pic:pic>
              </a:graphicData>
            </a:graphic>
          </wp:inline>
        </w:drawing>
      </w:r>
    </w:p>
    <w:p w:rsidR="00DA34B6" w:rsidRPr="00B1794E" w:rsidRDefault="00DA34B6" w:rsidP="00DA34B6">
      <w:pPr>
        <w:jc w:val="center"/>
        <w:rPr>
          <w:rFonts w:ascii="Times New Roman" w:hAnsi="Times New Roman" w:cs="Times New Roman"/>
          <w:i/>
          <w:sz w:val="18"/>
        </w:rPr>
      </w:pPr>
      <w:proofErr w:type="gramStart"/>
      <w:r w:rsidRPr="00B1794E">
        <w:rPr>
          <w:rFonts w:ascii="Times New Roman" w:hAnsi="Times New Roman" w:cs="Times New Roman"/>
          <w:b/>
          <w:i/>
          <w:sz w:val="18"/>
        </w:rPr>
        <w:t>Figure 2.</w:t>
      </w:r>
      <w:proofErr w:type="gramEnd"/>
      <w:r w:rsidRPr="00B1794E">
        <w:rPr>
          <w:rFonts w:ascii="Times New Roman" w:hAnsi="Times New Roman" w:cs="Times New Roman"/>
          <w:i/>
          <w:sz w:val="18"/>
        </w:rPr>
        <w:t xml:space="preserve"> </w:t>
      </w:r>
      <w:r w:rsidRPr="00B1794E">
        <w:rPr>
          <w:rFonts w:ascii="Times New Roman" w:hAnsi="Times New Roman" w:cs="Times New Roman"/>
          <w:i/>
          <w:sz w:val="18"/>
        </w:rPr>
        <w:t xml:space="preserve">Dental implants (a) CAD Design; </w:t>
      </w:r>
      <w:proofErr w:type="gramStart"/>
      <w:r w:rsidRPr="00B1794E">
        <w:rPr>
          <w:rFonts w:ascii="Times New Roman" w:hAnsi="Times New Roman" w:cs="Times New Roman"/>
          <w:i/>
          <w:sz w:val="18"/>
        </w:rPr>
        <w:t>Different dental implants compositions (b) Alumina,</w:t>
      </w:r>
      <w:r w:rsidRPr="00B1794E">
        <w:rPr>
          <w:rFonts w:ascii="Times New Roman" w:hAnsi="Times New Roman" w:cs="Times New Roman"/>
          <w:i/>
          <w:sz w:val="18"/>
        </w:rPr>
        <w:t xml:space="preserve"> </w:t>
      </w:r>
      <w:r w:rsidRPr="00B1794E">
        <w:rPr>
          <w:rFonts w:ascii="Times New Roman" w:hAnsi="Times New Roman" w:cs="Times New Roman"/>
          <w:i/>
          <w:sz w:val="18"/>
        </w:rPr>
        <w:t>(c) Alumina –zirconia composites with variable screw pitches</w:t>
      </w:r>
      <w:proofErr w:type="gramEnd"/>
      <w:r w:rsidRPr="00B1794E">
        <w:rPr>
          <w:rFonts w:ascii="Times New Roman" w:hAnsi="Times New Roman" w:cs="Times New Roman"/>
          <w:i/>
          <w:sz w:val="18"/>
        </w:rPr>
        <w:t xml:space="preserve"> (d) spinal spacer of Ti6Al4V</w:t>
      </w:r>
      <w:r w:rsidRPr="00B1794E">
        <w:rPr>
          <w:rFonts w:ascii="Times New Roman" w:hAnsi="Times New Roman" w:cs="Times New Roman"/>
          <w:i/>
          <w:sz w:val="18"/>
        </w:rPr>
        <w:t>.</w:t>
      </w:r>
    </w:p>
    <w:p w:rsidR="00B1794E" w:rsidRDefault="00DA34B6" w:rsidP="00DA34B6">
      <w:pPr>
        <w:jc w:val="both"/>
        <w:rPr>
          <w:rFonts w:ascii="Times New Roman" w:hAnsi="Times New Roman" w:cs="Times New Roman"/>
          <w:sz w:val="20"/>
        </w:rPr>
      </w:pPr>
      <w:r w:rsidRPr="00DA34B6">
        <w:rPr>
          <w:rFonts w:ascii="Times New Roman" w:hAnsi="Times New Roman" w:cs="Times New Roman"/>
          <w:sz w:val="20"/>
        </w:rPr>
        <w:t>In this context, metal and ceramic-based permanent implants like mandible, dental crown, cortical bone etc. are manufactured by near net shape fabrication (direct casting and green state machining) approach. Bio-activation/ surface modification of implants for biological fixation is another important area of research. Different kinetically driven processes like microwave irradiation and electro</w:t>
      </w:r>
      <w:r>
        <w:rPr>
          <w:rFonts w:ascii="Times New Roman" w:hAnsi="Times New Roman" w:cs="Times New Roman"/>
          <w:sz w:val="20"/>
        </w:rPr>
        <w:t>-</w:t>
      </w:r>
      <w:r w:rsidRPr="00DA34B6">
        <w:rPr>
          <w:rFonts w:ascii="Times New Roman" w:hAnsi="Times New Roman" w:cs="Times New Roman"/>
          <w:sz w:val="20"/>
        </w:rPr>
        <w:t>spinning are utilized for quantum dots and nano/micro</w:t>
      </w:r>
      <w:r>
        <w:rPr>
          <w:rFonts w:ascii="Times New Roman" w:hAnsi="Times New Roman" w:cs="Times New Roman"/>
          <w:sz w:val="20"/>
        </w:rPr>
        <w:t>-</w:t>
      </w:r>
      <w:r w:rsidRPr="00DA34B6">
        <w:rPr>
          <w:rFonts w:ascii="Times New Roman" w:hAnsi="Times New Roman" w:cs="Times New Roman"/>
          <w:sz w:val="20"/>
        </w:rPr>
        <w:t xml:space="preserve">fibrous mat fabrication for live-cell and tissue imaging, tissue regeneration, </w:t>
      </w:r>
      <w:r>
        <w:rPr>
          <w:rFonts w:ascii="Times New Roman" w:hAnsi="Times New Roman" w:cs="Times New Roman"/>
          <w:sz w:val="20"/>
        </w:rPr>
        <w:t>wound healing applications (Figure</w:t>
      </w:r>
      <w:r w:rsidRPr="00DA34B6">
        <w:rPr>
          <w:rFonts w:ascii="Times New Roman" w:hAnsi="Times New Roman" w:cs="Times New Roman"/>
          <w:sz w:val="20"/>
        </w:rPr>
        <w:t xml:space="preserve"> 3).</w:t>
      </w:r>
    </w:p>
    <w:p w:rsidR="00B1794E" w:rsidRDefault="00B1794E" w:rsidP="00B1794E">
      <w:pPr>
        <w:jc w:val="center"/>
        <w:rPr>
          <w:rFonts w:ascii="Times New Roman" w:hAnsi="Times New Roman" w:cs="Times New Roman"/>
          <w:sz w:val="20"/>
        </w:rPr>
      </w:pPr>
      <w:r>
        <w:rPr>
          <w:rFonts w:ascii="Times New Roman" w:hAnsi="Times New Roman" w:cs="Times New Roman"/>
          <w:noProof/>
          <w:sz w:val="20"/>
        </w:rPr>
        <w:lastRenderedPageBreak/>
        <w:drawing>
          <wp:inline distT="0" distB="0" distL="0" distR="0">
            <wp:extent cx="5725160" cy="4070985"/>
            <wp:effectExtent l="0" t="0" r="8890" b="5715"/>
            <wp:docPr id="40" name="Picture 40" descr="C:\Users\swetha-s\Downloads\SWETHA\March 2023\14-03-2023\Biomaterials 2023\Fig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wetha-s\Downloads\SWETHA\March 2023\14-03-2023\Biomaterials 2023\Fig 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5160" cy="4070985"/>
                    </a:xfrm>
                    <a:prstGeom prst="rect">
                      <a:avLst/>
                    </a:prstGeom>
                    <a:noFill/>
                    <a:ln>
                      <a:noFill/>
                    </a:ln>
                  </pic:spPr>
                </pic:pic>
              </a:graphicData>
            </a:graphic>
          </wp:inline>
        </w:drawing>
      </w:r>
    </w:p>
    <w:p w:rsidR="00B1794E" w:rsidRPr="00B1794E" w:rsidRDefault="00B1794E" w:rsidP="00B1794E">
      <w:pPr>
        <w:jc w:val="center"/>
        <w:rPr>
          <w:rFonts w:ascii="Times New Roman" w:hAnsi="Times New Roman" w:cs="Times New Roman"/>
          <w:i/>
          <w:sz w:val="18"/>
        </w:rPr>
      </w:pPr>
      <w:proofErr w:type="gramStart"/>
      <w:r w:rsidRPr="00B1794E">
        <w:rPr>
          <w:rFonts w:ascii="Times New Roman" w:hAnsi="Times New Roman" w:cs="Times New Roman"/>
          <w:b/>
          <w:i/>
          <w:sz w:val="18"/>
        </w:rPr>
        <w:t>Figure 3.</w:t>
      </w:r>
      <w:proofErr w:type="gramEnd"/>
      <w:r w:rsidRPr="00B1794E">
        <w:rPr>
          <w:rFonts w:ascii="Times New Roman" w:hAnsi="Times New Roman" w:cs="Times New Roman"/>
          <w:i/>
          <w:sz w:val="18"/>
        </w:rPr>
        <w:t xml:space="preserve"> The first row (A, B</w:t>
      </w:r>
      <w:r>
        <w:rPr>
          <w:rFonts w:ascii="Times New Roman" w:hAnsi="Times New Roman" w:cs="Times New Roman"/>
          <w:i/>
          <w:sz w:val="18"/>
        </w:rPr>
        <w:t xml:space="preserve"> and</w:t>
      </w:r>
      <w:r w:rsidRPr="00B1794E">
        <w:rPr>
          <w:rFonts w:ascii="Times New Roman" w:hAnsi="Times New Roman" w:cs="Times New Roman"/>
          <w:i/>
          <w:sz w:val="18"/>
        </w:rPr>
        <w:t xml:space="preserve"> C) </w:t>
      </w:r>
      <w:proofErr w:type="spellStart"/>
      <w:r w:rsidRPr="00B1794E">
        <w:rPr>
          <w:rFonts w:ascii="Times New Roman" w:hAnsi="Times New Roman" w:cs="Times New Roman"/>
          <w:i/>
          <w:sz w:val="18"/>
        </w:rPr>
        <w:t>Electrospun</w:t>
      </w:r>
      <w:proofErr w:type="spellEnd"/>
      <w:r w:rsidRPr="00B1794E">
        <w:rPr>
          <w:rFonts w:ascii="Times New Roman" w:hAnsi="Times New Roman" w:cs="Times New Roman"/>
          <w:i/>
          <w:sz w:val="18"/>
        </w:rPr>
        <w:t xml:space="preserve"> </w:t>
      </w:r>
      <w:proofErr w:type="spellStart"/>
      <w:r w:rsidRPr="00B1794E">
        <w:rPr>
          <w:rFonts w:ascii="Times New Roman" w:hAnsi="Times New Roman" w:cs="Times New Roman"/>
          <w:i/>
          <w:sz w:val="18"/>
        </w:rPr>
        <w:t>nanofibers</w:t>
      </w:r>
      <w:proofErr w:type="spellEnd"/>
      <w:r w:rsidRPr="00B1794E">
        <w:rPr>
          <w:rFonts w:ascii="Times New Roman" w:hAnsi="Times New Roman" w:cs="Times New Roman"/>
          <w:i/>
          <w:sz w:val="18"/>
        </w:rPr>
        <w:t xml:space="preserve">, Fluorescence activity of </w:t>
      </w:r>
      <w:proofErr w:type="spellStart"/>
      <w:r w:rsidRPr="00B1794E">
        <w:rPr>
          <w:rFonts w:ascii="Times New Roman" w:hAnsi="Times New Roman" w:cs="Times New Roman"/>
          <w:i/>
          <w:sz w:val="18"/>
        </w:rPr>
        <w:t>nanofiber</w:t>
      </w:r>
      <w:proofErr w:type="spellEnd"/>
      <w:r w:rsidRPr="00B1794E">
        <w:rPr>
          <w:rFonts w:ascii="Times New Roman" w:hAnsi="Times New Roman" w:cs="Times New Roman"/>
          <w:i/>
          <w:sz w:val="18"/>
        </w:rPr>
        <w:t xml:space="preserve"> and live cells for different healthcare applications; The second row (A, B and C) Capra-ear at different processing stages as </w:t>
      </w:r>
      <w:proofErr w:type="spellStart"/>
      <w:r w:rsidRPr="00B1794E">
        <w:rPr>
          <w:rFonts w:ascii="Times New Roman" w:hAnsi="Times New Roman" w:cs="Times New Roman"/>
          <w:i/>
          <w:sz w:val="18"/>
        </w:rPr>
        <w:t>decellularized</w:t>
      </w:r>
      <w:proofErr w:type="spellEnd"/>
      <w:r w:rsidRPr="00B1794E">
        <w:rPr>
          <w:rFonts w:ascii="Times New Roman" w:hAnsi="Times New Roman" w:cs="Times New Roman"/>
          <w:i/>
          <w:sz w:val="18"/>
        </w:rPr>
        <w:t xml:space="preserve"> extracellular matrix analogous to cartilage tissue components; The third row (a, b</w:t>
      </w:r>
      <w:r>
        <w:rPr>
          <w:rFonts w:ascii="Times New Roman" w:hAnsi="Times New Roman" w:cs="Times New Roman"/>
          <w:i/>
          <w:sz w:val="18"/>
        </w:rPr>
        <w:t xml:space="preserve"> and</w:t>
      </w:r>
      <w:r w:rsidRPr="00B1794E">
        <w:rPr>
          <w:rFonts w:ascii="Times New Roman" w:hAnsi="Times New Roman" w:cs="Times New Roman"/>
          <w:i/>
          <w:sz w:val="18"/>
        </w:rPr>
        <w:t xml:space="preserve"> c) Collagen type II meshwork with other extracellular matrix components, Collagen II at higher magnification and SDS page of collagen II showing the molecular weight of ~150 </w:t>
      </w:r>
      <w:proofErr w:type="spellStart"/>
      <w:r w:rsidRPr="00B1794E">
        <w:rPr>
          <w:rFonts w:ascii="Times New Roman" w:hAnsi="Times New Roman" w:cs="Times New Roman"/>
          <w:i/>
          <w:sz w:val="18"/>
        </w:rPr>
        <w:t>KDa</w:t>
      </w:r>
      <w:proofErr w:type="spellEnd"/>
      <w:r w:rsidRPr="00B1794E">
        <w:rPr>
          <w:rFonts w:ascii="Times New Roman" w:hAnsi="Times New Roman" w:cs="Times New Roman"/>
          <w:i/>
          <w:sz w:val="18"/>
        </w:rPr>
        <w:t>.</w:t>
      </w:r>
    </w:p>
    <w:p w:rsidR="00DA34B6" w:rsidRDefault="00DA34B6" w:rsidP="00DA34B6">
      <w:pPr>
        <w:jc w:val="both"/>
        <w:rPr>
          <w:rFonts w:ascii="Times New Roman" w:hAnsi="Times New Roman" w:cs="Times New Roman"/>
          <w:sz w:val="20"/>
        </w:rPr>
      </w:pPr>
      <w:r w:rsidRPr="00DA34B6">
        <w:rPr>
          <w:rFonts w:ascii="Times New Roman" w:hAnsi="Times New Roman" w:cs="Times New Roman"/>
          <w:sz w:val="20"/>
        </w:rPr>
        <w:t>Under the regenerative medicine approach, this group is developing biodegradable/bioactive materials with nano-micro architecture for skin, bone and cartilage tissue engineering. Different factors like scaffold architecture, chemistry, dynamic an</w:t>
      </w:r>
      <w:r>
        <w:rPr>
          <w:rFonts w:ascii="Times New Roman" w:hAnsi="Times New Roman" w:cs="Times New Roman"/>
          <w:sz w:val="20"/>
        </w:rPr>
        <w:t xml:space="preserve">d static conditions are studied </w:t>
      </w:r>
      <w:r w:rsidRPr="00DA34B6">
        <w:rPr>
          <w:rFonts w:ascii="Times New Roman" w:hAnsi="Times New Roman" w:cs="Times New Roman"/>
          <w:sz w:val="20"/>
        </w:rPr>
        <w:t xml:space="preserve">to improve cell-material interactions toward stem cell differentiation into native tissue phenotypes. Also, the group is exploring diverse natural resources for isolation of bioactive molecules, biopolymers and materials for better healthcare delivery. The group has activities from materials development, the study of cell biology and biochemical assays </w:t>
      </w:r>
      <w:r w:rsidRPr="00DA34B6">
        <w:rPr>
          <w:rFonts w:ascii="Times New Roman" w:hAnsi="Times New Roman" w:cs="Times New Roman"/>
          <w:i/>
          <w:sz w:val="20"/>
        </w:rPr>
        <w:t>in vitro</w:t>
      </w:r>
      <w:r w:rsidRPr="00DA34B6">
        <w:rPr>
          <w:rFonts w:ascii="Times New Roman" w:hAnsi="Times New Roman" w:cs="Times New Roman"/>
          <w:sz w:val="20"/>
        </w:rPr>
        <w:t xml:space="preserve"> and </w:t>
      </w:r>
      <w:r w:rsidRPr="00DA34B6">
        <w:rPr>
          <w:rFonts w:ascii="Times New Roman" w:hAnsi="Times New Roman" w:cs="Times New Roman"/>
          <w:i/>
          <w:sz w:val="20"/>
        </w:rPr>
        <w:t>in vivo</w:t>
      </w:r>
      <w:r w:rsidRPr="00DA34B6">
        <w:rPr>
          <w:rFonts w:ascii="Times New Roman" w:hAnsi="Times New Roman" w:cs="Times New Roman"/>
          <w:sz w:val="20"/>
        </w:rPr>
        <w:t xml:space="preserve"> towards final product development. Some of the products are already used for clinical case studies and some of them and in the intermediate stage of technology transfer.</w:t>
      </w:r>
    </w:p>
    <w:p w:rsidR="00DA34B6" w:rsidRPr="00DA34B6" w:rsidRDefault="00DA34B6" w:rsidP="00DA34B6">
      <w:pPr>
        <w:rPr>
          <w:rFonts w:ascii="Times New Roman" w:hAnsi="Times New Roman" w:cs="Times New Roman"/>
          <w:b/>
          <w:sz w:val="24"/>
        </w:rPr>
      </w:pPr>
      <w:r w:rsidRPr="00DA34B6">
        <w:rPr>
          <w:rFonts w:ascii="Times New Roman" w:hAnsi="Times New Roman" w:cs="Times New Roman"/>
          <w:b/>
          <w:sz w:val="24"/>
        </w:rPr>
        <w:t>Biography</w:t>
      </w:r>
    </w:p>
    <w:p w:rsidR="00DA34B6" w:rsidRPr="00DA34B6" w:rsidRDefault="00DA34B6" w:rsidP="00DA34B6">
      <w:pPr>
        <w:jc w:val="both"/>
        <w:rPr>
          <w:rFonts w:ascii="Times New Roman" w:hAnsi="Times New Roman" w:cs="Times New Roman"/>
          <w:sz w:val="20"/>
        </w:rPr>
      </w:pPr>
      <w:proofErr w:type="spellStart"/>
      <w:r w:rsidRPr="00DA34B6">
        <w:rPr>
          <w:rFonts w:ascii="Times New Roman" w:hAnsi="Times New Roman" w:cs="Times New Roman"/>
          <w:sz w:val="20"/>
        </w:rPr>
        <w:t>Santanu</w:t>
      </w:r>
      <w:proofErr w:type="spellEnd"/>
      <w:r w:rsidRPr="00DA34B6">
        <w:rPr>
          <w:rFonts w:ascii="Times New Roman" w:hAnsi="Times New Roman" w:cs="Times New Roman"/>
          <w:sz w:val="20"/>
        </w:rPr>
        <w:t xml:space="preserve"> </w:t>
      </w:r>
      <w:proofErr w:type="spellStart"/>
      <w:r w:rsidRPr="00DA34B6">
        <w:rPr>
          <w:rFonts w:ascii="Times New Roman" w:hAnsi="Times New Roman" w:cs="Times New Roman"/>
          <w:sz w:val="20"/>
        </w:rPr>
        <w:t>Dhara</w:t>
      </w:r>
      <w:proofErr w:type="spellEnd"/>
      <w:r w:rsidRPr="00DA34B6">
        <w:rPr>
          <w:rFonts w:ascii="Times New Roman" w:hAnsi="Times New Roman" w:cs="Times New Roman"/>
          <w:sz w:val="20"/>
        </w:rPr>
        <w:t xml:space="preserve"> PhD is a Professor at School of Medical Science and Technology, Indian Institute of Technology </w:t>
      </w:r>
      <w:proofErr w:type="spellStart"/>
      <w:r w:rsidRPr="00DA34B6">
        <w:rPr>
          <w:rFonts w:ascii="Times New Roman" w:hAnsi="Times New Roman" w:cs="Times New Roman"/>
          <w:sz w:val="20"/>
        </w:rPr>
        <w:t>Kharagpur</w:t>
      </w:r>
      <w:proofErr w:type="spellEnd"/>
      <w:r w:rsidRPr="00DA34B6">
        <w:rPr>
          <w:rFonts w:ascii="Times New Roman" w:hAnsi="Times New Roman" w:cs="Times New Roman"/>
          <w:sz w:val="20"/>
        </w:rPr>
        <w:t xml:space="preserve">, India. </w:t>
      </w:r>
      <w:proofErr w:type="spellStart"/>
      <w:r w:rsidRPr="00DA34B6">
        <w:rPr>
          <w:rFonts w:ascii="Times New Roman" w:hAnsi="Times New Roman" w:cs="Times New Roman"/>
          <w:sz w:val="20"/>
        </w:rPr>
        <w:t>BioMaterials</w:t>
      </w:r>
      <w:proofErr w:type="spellEnd"/>
      <w:r w:rsidRPr="00DA34B6">
        <w:rPr>
          <w:rFonts w:ascii="Times New Roman" w:hAnsi="Times New Roman" w:cs="Times New Roman"/>
          <w:sz w:val="20"/>
        </w:rPr>
        <w:t xml:space="preserve"> and Tissue Engineering (BMTE) was established by </w:t>
      </w:r>
      <w:r>
        <w:rPr>
          <w:rFonts w:ascii="Times New Roman" w:hAnsi="Times New Roman" w:cs="Times New Roman"/>
          <w:sz w:val="20"/>
        </w:rPr>
        <w:t>him</w:t>
      </w:r>
      <w:r w:rsidRPr="00DA34B6">
        <w:rPr>
          <w:rFonts w:ascii="Times New Roman" w:hAnsi="Times New Roman" w:cs="Times New Roman"/>
          <w:sz w:val="20"/>
        </w:rPr>
        <w:t xml:space="preserve"> in the year 2007 soon after joining SMST as faculty.</w:t>
      </w:r>
      <w:bookmarkEnd w:id="0"/>
    </w:p>
    <w:sectPr w:rsidR="00DA34B6" w:rsidRPr="00DA34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4B6"/>
    <w:rsid w:val="0032354D"/>
    <w:rsid w:val="00474203"/>
    <w:rsid w:val="00535872"/>
    <w:rsid w:val="00924B33"/>
    <w:rsid w:val="00B1794E"/>
    <w:rsid w:val="00DA3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34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34B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34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34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2023-03-14T11:38:00Z</dcterms:created>
  <dcterms:modified xsi:type="dcterms:W3CDTF">2023-03-14T12:01:00Z</dcterms:modified>
</cp:coreProperties>
</file>