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419D" w:rsidRPr="004B419D" w:rsidRDefault="004B419D" w:rsidP="004B419D">
      <w:pPr>
        <w:rPr>
          <w:rFonts w:ascii="Times New Roman" w:hAnsi="Times New Roman" w:cs="Times New Roman"/>
          <w:b/>
          <w:sz w:val="32"/>
        </w:rPr>
      </w:pPr>
      <w:bookmarkStart w:id="0" w:name="_GoBack"/>
      <w:r w:rsidRPr="004B419D">
        <w:rPr>
          <w:rFonts w:ascii="Times New Roman" w:hAnsi="Times New Roman" w:cs="Times New Roman"/>
          <w:b/>
          <w:sz w:val="32"/>
        </w:rPr>
        <w:t xml:space="preserve">Intra-species diversity of </w:t>
      </w:r>
      <w:r w:rsidRPr="004B419D">
        <w:rPr>
          <w:rFonts w:ascii="Times New Roman" w:hAnsi="Times New Roman" w:cs="Times New Roman"/>
          <w:b/>
          <w:i/>
          <w:sz w:val="32"/>
        </w:rPr>
        <w:t xml:space="preserve">Clostridium </w:t>
      </w:r>
      <w:proofErr w:type="spellStart"/>
      <w:r w:rsidRPr="004B419D">
        <w:rPr>
          <w:rFonts w:ascii="Times New Roman" w:hAnsi="Times New Roman" w:cs="Times New Roman"/>
          <w:b/>
          <w:i/>
          <w:sz w:val="32"/>
        </w:rPr>
        <w:t>perfringens</w:t>
      </w:r>
      <w:proofErr w:type="spellEnd"/>
      <w:r w:rsidRPr="004B419D">
        <w:rPr>
          <w:rFonts w:ascii="Times New Roman" w:hAnsi="Times New Roman" w:cs="Times New Roman"/>
          <w:b/>
          <w:sz w:val="32"/>
        </w:rPr>
        <w:t>: A diverse genetic repertoire reveals an emerging pathogenic potential</w:t>
      </w:r>
    </w:p>
    <w:p w:rsidR="004B419D" w:rsidRPr="004B419D" w:rsidRDefault="004B419D" w:rsidP="004B419D">
      <w:pPr>
        <w:rPr>
          <w:rFonts w:ascii="Times New Roman" w:hAnsi="Times New Roman" w:cs="Times New Roman"/>
          <w:sz w:val="24"/>
        </w:rPr>
      </w:pPr>
      <w:r w:rsidRPr="004B419D">
        <w:rPr>
          <w:rFonts w:ascii="Times New Roman" w:hAnsi="Times New Roman" w:cs="Times New Roman"/>
          <w:sz w:val="24"/>
        </w:rPr>
        <w:t xml:space="preserve">Anny Camargo*, </w:t>
      </w:r>
      <w:r w:rsidRPr="004B419D">
        <w:rPr>
          <w:rFonts w:ascii="Times New Roman" w:hAnsi="Times New Roman" w:cs="Times New Roman"/>
          <w:sz w:val="24"/>
        </w:rPr>
        <w:t>Marina Mu</w:t>
      </w:r>
      <w:r w:rsidR="00715B17">
        <w:rPr>
          <w:rFonts w:ascii="Times New Roman" w:hAnsi="Times New Roman" w:cs="Times New Roman"/>
          <w:sz w:val="24"/>
        </w:rPr>
        <w:t>n</w:t>
      </w:r>
      <w:r w:rsidRPr="004B419D">
        <w:rPr>
          <w:rFonts w:ascii="Times New Roman" w:hAnsi="Times New Roman" w:cs="Times New Roman"/>
          <w:sz w:val="24"/>
        </w:rPr>
        <w:t xml:space="preserve">oz </w:t>
      </w:r>
      <w:r w:rsidRPr="004B419D">
        <w:rPr>
          <w:rFonts w:ascii="Times New Roman" w:hAnsi="Times New Roman" w:cs="Times New Roman"/>
          <w:sz w:val="24"/>
        </w:rPr>
        <w:t>and Juan David Ram</w:t>
      </w:r>
      <w:r w:rsidR="00715B17">
        <w:rPr>
          <w:rFonts w:ascii="Times New Roman" w:hAnsi="Times New Roman" w:cs="Times New Roman"/>
          <w:sz w:val="24"/>
        </w:rPr>
        <w:t>i</w:t>
      </w:r>
      <w:r w:rsidRPr="004B419D">
        <w:rPr>
          <w:rFonts w:ascii="Times New Roman" w:hAnsi="Times New Roman" w:cs="Times New Roman"/>
          <w:sz w:val="24"/>
        </w:rPr>
        <w:t>rez</w:t>
      </w:r>
    </w:p>
    <w:p w:rsidR="004B419D" w:rsidRPr="00454C76" w:rsidRDefault="004B419D" w:rsidP="004B419D">
      <w:pPr>
        <w:rPr>
          <w:rFonts w:ascii="Times New Roman" w:hAnsi="Times New Roman" w:cs="Times New Roman"/>
        </w:rPr>
      </w:pPr>
      <w:r w:rsidRPr="00454C76">
        <w:rPr>
          <w:rFonts w:ascii="Times New Roman" w:hAnsi="Times New Roman" w:cs="Times New Roman"/>
        </w:rPr>
        <w:t>Del Rosario University</w:t>
      </w:r>
      <w:r w:rsidRPr="00454C76">
        <w:rPr>
          <w:rFonts w:ascii="Times New Roman" w:hAnsi="Times New Roman" w:cs="Times New Roman"/>
        </w:rPr>
        <w:t>, Colombia</w:t>
      </w:r>
    </w:p>
    <w:p w:rsidR="004B419D" w:rsidRPr="004B419D" w:rsidRDefault="004B419D" w:rsidP="004B419D">
      <w:pPr>
        <w:jc w:val="center"/>
        <w:rPr>
          <w:rFonts w:ascii="Times New Roman" w:hAnsi="Times New Roman" w:cs="Times New Roman"/>
          <w:b/>
          <w:sz w:val="24"/>
        </w:rPr>
      </w:pPr>
      <w:r w:rsidRPr="004B419D">
        <w:rPr>
          <w:rFonts w:ascii="Times New Roman" w:hAnsi="Times New Roman" w:cs="Times New Roman"/>
          <w:b/>
          <w:sz w:val="24"/>
        </w:rPr>
        <w:t>Abstract</w:t>
      </w:r>
    </w:p>
    <w:p w:rsidR="004B419D" w:rsidRPr="004B419D" w:rsidRDefault="004B419D" w:rsidP="004B419D">
      <w:pPr>
        <w:jc w:val="both"/>
        <w:rPr>
          <w:rFonts w:ascii="Times New Roman" w:hAnsi="Times New Roman" w:cs="Times New Roman"/>
          <w:sz w:val="20"/>
        </w:rPr>
      </w:pPr>
      <w:r w:rsidRPr="004B419D">
        <w:rPr>
          <w:rFonts w:ascii="Times New Roman" w:hAnsi="Times New Roman" w:cs="Times New Roman"/>
          <w:sz w:val="20"/>
        </w:rPr>
        <w:t xml:space="preserve">The purpose of this study was to determine the intra-species diversity and phylogenetic relationships of </w:t>
      </w:r>
      <w:r w:rsidRPr="004B419D">
        <w:rPr>
          <w:rFonts w:ascii="Times New Roman" w:hAnsi="Times New Roman" w:cs="Times New Roman"/>
          <w:i/>
          <w:sz w:val="20"/>
        </w:rPr>
        <w:t xml:space="preserve">C. </w:t>
      </w:r>
      <w:proofErr w:type="spellStart"/>
      <w:r w:rsidRPr="004B419D">
        <w:rPr>
          <w:rFonts w:ascii="Times New Roman" w:hAnsi="Times New Roman" w:cs="Times New Roman"/>
          <w:i/>
          <w:sz w:val="20"/>
        </w:rPr>
        <w:t>perfringens</w:t>
      </w:r>
      <w:proofErr w:type="spellEnd"/>
      <w:r w:rsidRPr="004B419D">
        <w:rPr>
          <w:rFonts w:ascii="Times New Roman" w:hAnsi="Times New Roman" w:cs="Times New Roman"/>
          <w:sz w:val="20"/>
        </w:rPr>
        <w:t>, as well as to identify key molecular markers associated with pathogenicity, virulence</w:t>
      </w:r>
      <w:r w:rsidR="00715B17">
        <w:rPr>
          <w:rFonts w:ascii="Times New Roman" w:hAnsi="Times New Roman" w:cs="Times New Roman"/>
          <w:sz w:val="20"/>
        </w:rPr>
        <w:t xml:space="preserve"> and</w:t>
      </w:r>
      <w:r w:rsidRPr="004B419D">
        <w:rPr>
          <w:rFonts w:ascii="Times New Roman" w:hAnsi="Times New Roman" w:cs="Times New Roman"/>
          <w:sz w:val="20"/>
        </w:rPr>
        <w:t xml:space="preserve"> </w:t>
      </w:r>
      <w:r w:rsidRPr="004B419D">
        <w:rPr>
          <w:rFonts w:ascii="Times New Roman" w:hAnsi="Times New Roman" w:cs="Times New Roman"/>
          <w:sz w:val="20"/>
        </w:rPr>
        <w:t>Antibiotic Markers Resistance</w:t>
      </w:r>
      <w:r w:rsidRPr="004B419D">
        <w:rPr>
          <w:rFonts w:ascii="Times New Roman" w:hAnsi="Times New Roman" w:cs="Times New Roman"/>
          <w:sz w:val="20"/>
        </w:rPr>
        <w:t xml:space="preserve"> (AMR) from Whole Genome Analysis (WGA).</w:t>
      </w:r>
    </w:p>
    <w:p w:rsidR="004B419D" w:rsidRPr="004B419D" w:rsidRDefault="004B419D" w:rsidP="004B419D">
      <w:pPr>
        <w:jc w:val="both"/>
        <w:rPr>
          <w:rFonts w:ascii="Times New Roman" w:hAnsi="Times New Roman" w:cs="Times New Roman"/>
          <w:sz w:val="20"/>
        </w:rPr>
      </w:pPr>
      <w:r w:rsidRPr="004B419D">
        <w:rPr>
          <w:rFonts w:ascii="Times New Roman" w:hAnsi="Times New Roman" w:cs="Times New Roman"/>
          <w:sz w:val="20"/>
        </w:rPr>
        <w:t xml:space="preserve">In this study, 372 </w:t>
      </w:r>
      <w:r w:rsidRPr="004B419D">
        <w:rPr>
          <w:rFonts w:ascii="Times New Roman" w:hAnsi="Times New Roman" w:cs="Times New Roman"/>
          <w:i/>
          <w:sz w:val="20"/>
        </w:rPr>
        <w:t xml:space="preserve">C. </w:t>
      </w:r>
      <w:proofErr w:type="spellStart"/>
      <w:r w:rsidRPr="004B419D">
        <w:rPr>
          <w:rFonts w:ascii="Times New Roman" w:hAnsi="Times New Roman" w:cs="Times New Roman"/>
          <w:i/>
          <w:sz w:val="20"/>
        </w:rPr>
        <w:t>perfringens</w:t>
      </w:r>
      <w:proofErr w:type="spellEnd"/>
      <w:r w:rsidRPr="004B419D">
        <w:rPr>
          <w:rFonts w:ascii="Times New Roman" w:hAnsi="Times New Roman" w:cs="Times New Roman"/>
          <w:sz w:val="20"/>
        </w:rPr>
        <w:t xml:space="preserve"> genomes from multiple locations and sources were evaluated. </w:t>
      </w:r>
      <w:r w:rsidRPr="004B419D">
        <w:rPr>
          <w:rFonts w:ascii="Times New Roman" w:hAnsi="Times New Roman" w:cs="Times New Roman"/>
          <w:i/>
          <w:sz w:val="20"/>
        </w:rPr>
        <w:t xml:space="preserve">In </w:t>
      </w:r>
      <w:proofErr w:type="spellStart"/>
      <w:r w:rsidRPr="004B419D">
        <w:rPr>
          <w:rFonts w:ascii="Times New Roman" w:hAnsi="Times New Roman" w:cs="Times New Roman"/>
          <w:i/>
          <w:sz w:val="20"/>
        </w:rPr>
        <w:t>silico</w:t>
      </w:r>
      <w:proofErr w:type="spellEnd"/>
      <w:r w:rsidRPr="004B419D">
        <w:rPr>
          <w:rFonts w:ascii="Times New Roman" w:hAnsi="Times New Roman" w:cs="Times New Roman"/>
          <w:sz w:val="20"/>
        </w:rPr>
        <w:t xml:space="preserve"> MLST was used for typing and the resulting </w:t>
      </w:r>
      <w:r w:rsidRPr="004B419D">
        <w:rPr>
          <w:rFonts w:ascii="Times New Roman" w:hAnsi="Times New Roman" w:cs="Times New Roman"/>
          <w:sz w:val="20"/>
        </w:rPr>
        <w:t xml:space="preserve">Sequence Types </w:t>
      </w:r>
      <w:r w:rsidRPr="004B419D">
        <w:rPr>
          <w:rFonts w:ascii="Times New Roman" w:hAnsi="Times New Roman" w:cs="Times New Roman"/>
          <w:sz w:val="20"/>
        </w:rPr>
        <w:t xml:space="preserve">(STs) were assigned to </w:t>
      </w:r>
      <w:r w:rsidRPr="004B419D">
        <w:rPr>
          <w:rFonts w:ascii="Times New Roman" w:hAnsi="Times New Roman" w:cs="Times New Roman"/>
          <w:sz w:val="20"/>
        </w:rPr>
        <w:t xml:space="preserve">Clonal Complexes </w:t>
      </w:r>
      <w:r w:rsidRPr="004B419D">
        <w:rPr>
          <w:rFonts w:ascii="Times New Roman" w:hAnsi="Times New Roman" w:cs="Times New Roman"/>
          <w:sz w:val="20"/>
        </w:rPr>
        <w:t xml:space="preserve">(CC). A </w:t>
      </w:r>
      <w:proofErr w:type="spellStart"/>
      <w:r w:rsidRPr="004B419D">
        <w:rPr>
          <w:rFonts w:ascii="Times New Roman" w:hAnsi="Times New Roman" w:cs="Times New Roman"/>
          <w:sz w:val="20"/>
        </w:rPr>
        <w:t>pangenome</w:t>
      </w:r>
      <w:proofErr w:type="spellEnd"/>
      <w:r w:rsidRPr="004B419D">
        <w:rPr>
          <w:rFonts w:ascii="Times New Roman" w:hAnsi="Times New Roman" w:cs="Times New Roman"/>
          <w:sz w:val="20"/>
        </w:rPr>
        <w:t xml:space="preserve"> analysis was conducted and then a core genome-based phylogenetic tree was created to define </w:t>
      </w:r>
      <w:proofErr w:type="spellStart"/>
      <w:r w:rsidRPr="004B419D">
        <w:rPr>
          <w:rFonts w:ascii="Times New Roman" w:hAnsi="Times New Roman" w:cs="Times New Roman"/>
          <w:sz w:val="20"/>
        </w:rPr>
        <w:t>phylogroups</w:t>
      </w:r>
      <w:proofErr w:type="spellEnd"/>
      <w:r w:rsidRPr="004B419D">
        <w:rPr>
          <w:rFonts w:ascii="Times New Roman" w:hAnsi="Times New Roman" w:cs="Times New Roman"/>
          <w:sz w:val="20"/>
        </w:rPr>
        <w:t xml:space="preserve">. Additionally, </w:t>
      </w:r>
      <w:proofErr w:type="spellStart"/>
      <w:r w:rsidRPr="004B419D">
        <w:rPr>
          <w:rFonts w:ascii="Times New Roman" w:hAnsi="Times New Roman" w:cs="Times New Roman"/>
          <w:sz w:val="20"/>
        </w:rPr>
        <w:t>toxinotypes</w:t>
      </w:r>
      <w:proofErr w:type="spellEnd"/>
      <w:r w:rsidRPr="004B419D">
        <w:rPr>
          <w:rFonts w:ascii="Times New Roman" w:hAnsi="Times New Roman" w:cs="Times New Roman"/>
          <w:sz w:val="20"/>
        </w:rPr>
        <w:t xml:space="preserve">, other key </w:t>
      </w:r>
      <w:r w:rsidRPr="004B419D">
        <w:rPr>
          <w:rFonts w:ascii="Times New Roman" w:hAnsi="Times New Roman" w:cs="Times New Roman"/>
          <w:sz w:val="20"/>
        </w:rPr>
        <w:t xml:space="preserve">Virulence Factors </w:t>
      </w:r>
      <w:r w:rsidRPr="004B419D">
        <w:rPr>
          <w:rFonts w:ascii="Times New Roman" w:hAnsi="Times New Roman" w:cs="Times New Roman"/>
          <w:sz w:val="20"/>
        </w:rPr>
        <w:t>(VF)</w:t>
      </w:r>
      <w:r w:rsidR="00715B17">
        <w:rPr>
          <w:rFonts w:ascii="Times New Roman" w:hAnsi="Times New Roman" w:cs="Times New Roman"/>
          <w:sz w:val="20"/>
        </w:rPr>
        <w:t xml:space="preserve"> and</w:t>
      </w:r>
      <w:r w:rsidRPr="004B419D">
        <w:rPr>
          <w:rFonts w:ascii="Times New Roman" w:hAnsi="Times New Roman" w:cs="Times New Roman"/>
          <w:sz w:val="20"/>
        </w:rPr>
        <w:t xml:space="preserve"> AMR were identified using </w:t>
      </w:r>
      <w:proofErr w:type="spellStart"/>
      <w:r w:rsidRPr="004B419D">
        <w:rPr>
          <w:rFonts w:ascii="Times New Roman" w:hAnsi="Times New Roman" w:cs="Times New Roman"/>
          <w:sz w:val="20"/>
        </w:rPr>
        <w:t>ABRicate</w:t>
      </w:r>
      <w:proofErr w:type="spellEnd"/>
      <w:r w:rsidRPr="004B419D">
        <w:rPr>
          <w:rFonts w:ascii="Times New Roman" w:hAnsi="Times New Roman" w:cs="Times New Roman"/>
          <w:sz w:val="20"/>
        </w:rPr>
        <w:t>.</w:t>
      </w:r>
    </w:p>
    <w:p w:rsidR="004B419D" w:rsidRPr="004B419D" w:rsidRDefault="004B419D" w:rsidP="004B419D">
      <w:pPr>
        <w:jc w:val="both"/>
        <w:rPr>
          <w:rFonts w:ascii="Times New Roman" w:hAnsi="Times New Roman" w:cs="Times New Roman"/>
          <w:sz w:val="20"/>
        </w:rPr>
      </w:pPr>
      <w:r w:rsidRPr="004B419D">
        <w:rPr>
          <w:rFonts w:ascii="Times New Roman" w:hAnsi="Times New Roman" w:cs="Times New Roman"/>
          <w:sz w:val="20"/>
        </w:rPr>
        <w:t xml:space="preserve">Most of the </w:t>
      </w:r>
      <w:r w:rsidRPr="004B419D">
        <w:rPr>
          <w:rFonts w:ascii="Times New Roman" w:hAnsi="Times New Roman" w:cs="Times New Roman"/>
          <w:i/>
          <w:sz w:val="20"/>
        </w:rPr>
        <w:t xml:space="preserve">C. </w:t>
      </w:r>
      <w:proofErr w:type="spellStart"/>
      <w:r w:rsidRPr="004B419D">
        <w:rPr>
          <w:rFonts w:ascii="Times New Roman" w:hAnsi="Times New Roman" w:cs="Times New Roman"/>
          <w:i/>
          <w:sz w:val="20"/>
        </w:rPr>
        <w:t>perfringens</w:t>
      </w:r>
      <w:proofErr w:type="spellEnd"/>
      <w:r w:rsidRPr="004B419D">
        <w:rPr>
          <w:rFonts w:ascii="Times New Roman" w:hAnsi="Times New Roman" w:cs="Times New Roman"/>
          <w:sz w:val="20"/>
        </w:rPr>
        <w:t xml:space="preserve"> genomes analyzed in this analysis were derived from food (n=85) and bird (n=85). A total of 195 STs, some of them shared between sources such as food and human, horses and dogs, as well as environment and birds, were grouped in 25 CCs and distributed along five </w:t>
      </w:r>
      <w:proofErr w:type="spellStart"/>
      <w:r w:rsidRPr="004B419D">
        <w:rPr>
          <w:rFonts w:ascii="Times New Roman" w:hAnsi="Times New Roman" w:cs="Times New Roman"/>
          <w:sz w:val="20"/>
        </w:rPr>
        <w:t>phylogroups</w:t>
      </w:r>
      <w:proofErr w:type="spellEnd"/>
      <w:r w:rsidRPr="004B419D">
        <w:rPr>
          <w:rFonts w:ascii="Times New Roman" w:hAnsi="Times New Roman" w:cs="Times New Roman"/>
          <w:sz w:val="20"/>
        </w:rPr>
        <w:t xml:space="preserve">. The 53% of the genomes were allocated to </w:t>
      </w:r>
      <w:proofErr w:type="spellStart"/>
      <w:r w:rsidRPr="004B419D">
        <w:rPr>
          <w:rFonts w:ascii="Times New Roman" w:hAnsi="Times New Roman" w:cs="Times New Roman"/>
          <w:sz w:val="20"/>
        </w:rPr>
        <w:t>toxinotype</w:t>
      </w:r>
      <w:proofErr w:type="spellEnd"/>
      <w:r w:rsidRPr="004B419D">
        <w:rPr>
          <w:rFonts w:ascii="Times New Roman" w:hAnsi="Times New Roman" w:cs="Times New Roman"/>
          <w:sz w:val="20"/>
        </w:rPr>
        <w:t xml:space="preserve"> A, followed by F (32%)</w:t>
      </w:r>
      <w:r w:rsidR="00715B17">
        <w:rPr>
          <w:rFonts w:ascii="Times New Roman" w:hAnsi="Times New Roman" w:cs="Times New Roman"/>
          <w:sz w:val="20"/>
        </w:rPr>
        <w:t xml:space="preserve"> and</w:t>
      </w:r>
      <w:r w:rsidRPr="004B419D">
        <w:rPr>
          <w:rFonts w:ascii="Times New Roman" w:hAnsi="Times New Roman" w:cs="Times New Roman"/>
          <w:sz w:val="20"/>
        </w:rPr>
        <w:t xml:space="preserve"> G (7%). The VF most frequently found was alpha-toxin (100%), followed by </w:t>
      </w:r>
      <w:proofErr w:type="spellStart"/>
      <w:r w:rsidRPr="004B419D">
        <w:rPr>
          <w:rFonts w:ascii="Times New Roman" w:hAnsi="Times New Roman" w:cs="Times New Roman"/>
          <w:sz w:val="20"/>
        </w:rPr>
        <w:t>sialidase</w:t>
      </w:r>
      <w:proofErr w:type="spellEnd"/>
      <w:r w:rsidRPr="004B419D">
        <w:rPr>
          <w:rFonts w:ascii="Times New Roman" w:hAnsi="Times New Roman" w:cs="Times New Roman"/>
          <w:sz w:val="20"/>
        </w:rPr>
        <w:t xml:space="preserve"> </w:t>
      </w:r>
      <w:proofErr w:type="spellStart"/>
      <w:r w:rsidRPr="004B419D">
        <w:rPr>
          <w:rFonts w:ascii="Times New Roman" w:hAnsi="Times New Roman" w:cs="Times New Roman"/>
          <w:sz w:val="20"/>
        </w:rPr>
        <w:t>nanH</w:t>
      </w:r>
      <w:proofErr w:type="spellEnd"/>
      <w:r w:rsidRPr="004B419D">
        <w:rPr>
          <w:rFonts w:ascii="Times New Roman" w:hAnsi="Times New Roman" w:cs="Times New Roman"/>
          <w:sz w:val="20"/>
        </w:rPr>
        <w:t xml:space="preserve"> (99%)</w:t>
      </w:r>
      <w:r w:rsidR="00715B17">
        <w:rPr>
          <w:rFonts w:ascii="Times New Roman" w:hAnsi="Times New Roman" w:cs="Times New Roman"/>
          <w:sz w:val="20"/>
        </w:rPr>
        <w:t xml:space="preserve"> and</w:t>
      </w:r>
      <w:r w:rsidRPr="004B419D">
        <w:rPr>
          <w:rFonts w:ascii="Times New Roman" w:hAnsi="Times New Roman" w:cs="Times New Roman"/>
          <w:sz w:val="20"/>
        </w:rPr>
        <w:t xml:space="preserve"> alpha-</w:t>
      </w:r>
      <w:proofErr w:type="spellStart"/>
      <w:r w:rsidRPr="004B419D">
        <w:rPr>
          <w:rFonts w:ascii="Times New Roman" w:hAnsi="Times New Roman" w:cs="Times New Roman"/>
          <w:sz w:val="20"/>
        </w:rPr>
        <w:t>clostripain</w:t>
      </w:r>
      <w:proofErr w:type="spellEnd"/>
      <w:r w:rsidRPr="004B419D">
        <w:rPr>
          <w:rFonts w:ascii="Times New Roman" w:hAnsi="Times New Roman" w:cs="Times New Roman"/>
          <w:sz w:val="20"/>
        </w:rPr>
        <w:t xml:space="preserve"> (99%), while </w:t>
      </w:r>
      <w:proofErr w:type="spellStart"/>
      <w:r w:rsidRPr="004B419D">
        <w:rPr>
          <w:rFonts w:ascii="Times New Roman" w:hAnsi="Times New Roman" w:cs="Times New Roman"/>
          <w:i/>
          <w:sz w:val="20"/>
        </w:rPr>
        <w:t>tetA</w:t>
      </w:r>
      <w:proofErr w:type="spellEnd"/>
      <w:r w:rsidRPr="004B419D">
        <w:rPr>
          <w:rFonts w:ascii="Times New Roman" w:hAnsi="Times New Roman" w:cs="Times New Roman"/>
          <w:sz w:val="20"/>
        </w:rPr>
        <w:t xml:space="preserve"> (39.5%) and </w:t>
      </w:r>
      <w:proofErr w:type="spellStart"/>
      <w:r w:rsidRPr="004B419D">
        <w:rPr>
          <w:rFonts w:ascii="Times New Roman" w:hAnsi="Times New Roman" w:cs="Times New Roman"/>
          <w:i/>
          <w:sz w:val="20"/>
        </w:rPr>
        <w:t>tetB</w:t>
      </w:r>
      <w:proofErr w:type="spellEnd"/>
      <w:r w:rsidRPr="004B419D">
        <w:rPr>
          <w:rFonts w:ascii="Times New Roman" w:hAnsi="Times New Roman" w:cs="Times New Roman"/>
          <w:sz w:val="20"/>
        </w:rPr>
        <w:t xml:space="preserve"> (36.2%), which mediate tetracycline resistance, were the most common AMR detected.</w:t>
      </w:r>
    </w:p>
    <w:p w:rsidR="00474203" w:rsidRDefault="004B419D" w:rsidP="004B419D">
      <w:pPr>
        <w:jc w:val="both"/>
        <w:rPr>
          <w:rFonts w:ascii="Times New Roman" w:hAnsi="Times New Roman" w:cs="Times New Roman"/>
          <w:sz w:val="20"/>
        </w:rPr>
      </w:pPr>
      <w:r w:rsidRPr="004B419D">
        <w:rPr>
          <w:rFonts w:ascii="Times New Roman" w:hAnsi="Times New Roman" w:cs="Times New Roman"/>
          <w:sz w:val="20"/>
        </w:rPr>
        <w:t xml:space="preserve">This analysis showed a better view about the possible spread of this pathogen among hosts, either by direct contact or by contaminated food. Furthermore, our results confirm a great diversity of </w:t>
      </w:r>
      <w:r w:rsidRPr="004B419D">
        <w:rPr>
          <w:rFonts w:ascii="Times New Roman" w:hAnsi="Times New Roman" w:cs="Times New Roman"/>
          <w:i/>
          <w:sz w:val="20"/>
        </w:rPr>
        <w:t xml:space="preserve">C. </w:t>
      </w:r>
      <w:proofErr w:type="spellStart"/>
      <w:r w:rsidRPr="004B419D">
        <w:rPr>
          <w:rFonts w:ascii="Times New Roman" w:hAnsi="Times New Roman" w:cs="Times New Roman"/>
          <w:i/>
          <w:sz w:val="20"/>
        </w:rPr>
        <w:t>perfringens</w:t>
      </w:r>
      <w:proofErr w:type="spellEnd"/>
      <w:r w:rsidRPr="004B419D">
        <w:rPr>
          <w:rFonts w:ascii="Times New Roman" w:hAnsi="Times New Roman" w:cs="Times New Roman"/>
          <w:sz w:val="20"/>
        </w:rPr>
        <w:t xml:space="preserve"> with many virulence factors that vary among different </w:t>
      </w:r>
      <w:proofErr w:type="spellStart"/>
      <w:r w:rsidRPr="004B419D">
        <w:rPr>
          <w:rFonts w:ascii="Times New Roman" w:hAnsi="Times New Roman" w:cs="Times New Roman"/>
          <w:sz w:val="20"/>
        </w:rPr>
        <w:t>phylogroups</w:t>
      </w:r>
      <w:proofErr w:type="spellEnd"/>
      <w:r w:rsidRPr="004B419D">
        <w:rPr>
          <w:rFonts w:ascii="Times New Roman" w:hAnsi="Times New Roman" w:cs="Times New Roman"/>
          <w:sz w:val="20"/>
        </w:rPr>
        <w:t xml:space="preserve"> and AMR, especially to </w:t>
      </w:r>
      <w:proofErr w:type="spellStart"/>
      <w:r w:rsidRPr="004B419D">
        <w:rPr>
          <w:rFonts w:ascii="Times New Roman" w:hAnsi="Times New Roman" w:cs="Times New Roman"/>
          <w:sz w:val="20"/>
        </w:rPr>
        <w:t>tetracyclines</w:t>
      </w:r>
      <w:proofErr w:type="spellEnd"/>
      <w:r w:rsidRPr="004B419D">
        <w:rPr>
          <w:rFonts w:ascii="Times New Roman" w:hAnsi="Times New Roman" w:cs="Times New Roman"/>
          <w:sz w:val="20"/>
        </w:rPr>
        <w:t>, aminoglycosides</w:t>
      </w:r>
      <w:r w:rsidR="00715B17">
        <w:rPr>
          <w:rFonts w:ascii="Times New Roman" w:hAnsi="Times New Roman" w:cs="Times New Roman"/>
          <w:sz w:val="20"/>
        </w:rPr>
        <w:t xml:space="preserve"> and</w:t>
      </w:r>
      <w:r w:rsidRPr="004B419D">
        <w:rPr>
          <w:rFonts w:ascii="Times New Roman" w:hAnsi="Times New Roman" w:cs="Times New Roman"/>
          <w:sz w:val="20"/>
        </w:rPr>
        <w:t xml:space="preserve"> macrolides, which highlight its importance at the public health level as an emerging pathogen.</w:t>
      </w:r>
    </w:p>
    <w:p w:rsidR="004B419D" w:rsidRPr="004B419D" w:rsidRDefault="004B419D" w:rsidP="004B419D">
      <w:pPr>
        <w:rPr>
          <w:rFonts w:ascii="Times New Roman" w:hAnsi="Times New Roman" w:cs="Times New Roman"/>
          <w:b/>
          <w:sz w:val="24"/>
        </w:rPr>
      </w:pPr>
      <w:r w:rsidRPr="004B419D">
        <w:rPr>
          <w:rFonts w:ascii="Times New Roman" w:hAnsi="Times New Roman" w:cs="Times New Roman"/>
          <w:b/>
          <w:sz w:val="24"/>
        </w:rPr>
        <w:t xml:space="preserve">Biography </w:t>
      </w:r>
    </w:p>
    <w:p w:rsidR="004B419D" w:rsidRPr="004B419D" w:rsidRDefault="004B419D" w:rsidP="004B419D">
      <w:pPr>
        <w:jc w:val="both"/>
        <w:rPr>
          <w:rFonts w:ascii="Times New Roman" w:hAnsi="Times New Roman" w:cs="Times New Roman"/>
          <w:sz w:val="20"/>
        </w:rPr>
      </w:pPr>
      <w:r w:rsidRPr="004B419D">
        <w:rPr>
          <w:rFonts w:ascii="Times New Roman" w:hAnsi="Times New Roman" w:cs="Times New Roman"/>
          <w:sz w:val="20"/>
        </w:rPr>
        <w:t xml:space="preserve">Anny Camargo is a medical doctor, professor of medicine at the Universidad de Boyacá, researcher at the Centro de </w:t>
      </w:r>
      <w:proofErr w:type="spellStart"/>
      <w:r w:rsidRPr="004B419D">
        <w:rPr>
          <w:rFonts w:ascii="Times New Roman" w:hAnsi="Times New Roman" w:cs="Times New Roman"/>
          <w:sz w:val="20"/>
        </w:rPr>
        <w:t>Investigaciones</w:t>
      </w:r>
      <w:proofErr w:type="spellEnd"/>
      <w:r w:rsidRPr="004B419D">
        <w:rPr>
          <w:rFonts w:ascii="Times New Roman" w:hAnsi="Times New Roman" w:cs="Times New Roman"/>
          <w:sz w:val="20"/>
        </w:rPr>
        <w:t xml:space="preserve"> en </w:t>
      </w:r>
      <w:proofErr w:type="spellStart"/>
      <w:r w:rsidRPr="004B419D">
        <w:rPr>
          <w:rFonts w:ascii="Times New Roman" w:hAnsi="Times New Roman" w:cs="Times New Roman"/>
          <w:sz w:val="20"/>
        </w:rPr>
        <w:t>Microbiología</w:t>
      </w:r>
      <w:proofErr w:type="spellEnd"/>
      <w:r w:rsidRPr="004B419D">
        <w:rPr>
          <w:rFonts w:ascii="Times New Roman" w:hAnsi="Times New Roman" w:cs="Times New Roman"/>
          <w:sz w:val="20"/>
        </w:rPr>
        <w:t xml:space="preserve"> y </w:t>
      </w:r>
      <w:proofErr w:type="spellStart"/>
      <w:r w:rsidRPr="004B419D">
        <w:rPr>
          <w:rFonts w:ascii="Times New Roman" w:hAnsi="Times New Roman" w:cs="Times New Roman"/>
          <w:sz w:val="20"/>
        </w:rPr>
        <w:t>Biotecnología</w:t>
      </w:r>
      <w:proofErr w:type="spellEnd"/>
      <w:r w:rsidRPr="004B419D">
        <w:rPr>
          <w:rFonts w:ascii="Times New Roman" w:hAnsi="Times New Roman" w:cs="Times New Roman"/>
          <w:sz w:val="20"/>
        </w:rPr>
        <w:t xml:space="preserve"> CIMBIUR de la Universidad del Rosario and principal investigator in Colombia. She is currently a PhD student in Biomedical and Biological Sciences at the Universidad </w:t>
      </w:r>
      <w:r w:rsidR="00715B17" w:rsidRPr="004B419D">
        <w:rPr>
          <w:rFonts w:ascii="Times New Roman" w:hAnsi="Times New Roman" w:cs="Times New Roman"/>
          <w:sz w:val="20"/>
        </w:rPr>
        <w:t>Del</w:t>
      </w:r>
      <w:r w:rsidRPr="004B419D">
        <w:rPr>
          <w:rFonts w:ascii="Times New Roman" w:hAnsi="Times New Roman" w:cs="Times New Roman"/>
          <w:sz w:val="20"/>
        </w:rPr>
        <w:t xml:space="preserve"> Rosario and is doing </w:t>
      </w:r>
      <w:r w:rsidRPr="004B419D">
        <w:rPr>
          <w:rFonts w:ascii="Times New Roman" w:hAnsi="Times New Roman" w:cs="Times New Roman"/>
          <w:sz w:val="20"/>
        </w:rPr>
        <w:t>an</w:t>
      </w:r>
      <w:r w:rsidRPr="004B419D">
        <w:rPr>
          <w:rFonts w:ascii="Times New Roman" w:hAnsi="Times New Roman" w:cs="Times New Roman"/>
          <w:sz w:val="20"/>
        </w:rPr>
        <w:t xml:space="preserve"> internship at </w:t>
      </w:r>
      <w:proofErr w:type="spellStart"/>
      <w:r w:rsidRPr="004B419D">
        <w:rPr>
          <w:rFonts w:ascii="Times New Roman" w:hAnsi="Times New Roman" w:cs="Times New Roman"/>
          <w:sz w:val="20"/>
        </w:rPr>
        <w:t>Quadram</w:t>
      </w:r>
      <w:proofErr w:type="spellEnd"/>
      <w:r>
        <w:rPr>
          <w:rFonts w:ascii="Times New Roman" w:hAnsi="Times New Roman" w:cs="Times New Roman"/>
          <w:sz w:val="20"/>
        </w:rPr>
        <w:t xml:space="preserve"> Institute Biosciences, Norwich,</w:t>
      </w:r>
      <w:r w:rsidRPr="004B419D">
        <w:rPr>
          <w:rFonts w:ascii="Times New Roman" w:hAnsi="Times New Roman" w:cs="Times New Roman"/>
          <w:sz w:val="20"/>
        </w:rPr>
        <w:t xml:space="preserve"> </w:t>
      </w:r>
      <w:r w:rsidRPr="004B419D">
        <w:rPr>
          <w:rFonts w:ascii="Times New Roman" w:hAnsi="Times New Roman" w:cs="Times New Roman"/>
          <w:sz w:val="20"/>
        </w:rPr>
        <w:t>UK</w:t>
      </w:r>
      <w:r w:rsidRPr="004B419D">
        <w:rPr>
          <w:rFonts w:ascii="Times New Roman" w:hAnsi="Times New Roman" w:cs="Times New Roman"/>
          <w:sz w:val="20"/>
        </w:rPr>
        <w:t>. Her research aims to characterize pathogens of clinical and veterinary importance at the genomic level, in order to contribute to greater knowledge in the promotion and prevention of human health.</w:t>
      </w:r>
      <w:bookmarkEnd w:id="0"/>
    </w:p>
    <w:sectPr w:rsidR="004B419D" w:rsidRPr="004B419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419D"/>
    <w:rsid w:val="0032354D"/>
    <w:rsid w:val="00454C76"/>
    <w:rsid w:val="00474203"/>
    <w:rsid w:val="004B419D"/>
    <w:rsid w:val="00535872"/>
    <w:rsid w:val="00715B17"/>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Pages>
  <Words>386</Words>
  <Characters>2202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2023-03-20T11:57:00Z</dcterms:created>
  <dcterms:modified xsi:type="dcterms:W3CDTF">2023-03-20T12:21:00Z</dcterms:modified>
</cp:coreProperties>
</file>