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8061B">
      <w:pPr>
        <w:rPr>
          <w:rFonts w:ascii="Times New Roman" w:hAnsi="Times New Roman" w:cs="Times New Roman"/>
          <w:b/>
          <w:sz w:val="32"/>
        </w:rPr>
      </w:pPr>
      <w:bookmarkStart w:id="0" w:name="_GoBack"/>
      <w:r w:rsidRPr="0028061B">
        <w:rPr>
          <w:rFonts w:ascii="Times New Roman" w:hAnsi="Times New Roman" w:cs="Times New Roman"/>
          <w:b/>
          <w:sz w:val="32"/>
        </w:rPr>
        <w:t>Pelletizing of agricultural residues in Senegal: Study of influencing phenomena and chemical elements</w:t>
      </w:r>
    </w:p>
    <w:p w:rsidR="0028061B" w:rsidRDefault="0028061B">
      <w:pPr>
        <w:rPr>
          <w:rFonts w:ascii="Times New Roman" w:hAnsi="Times New Roman" w:cs="Times New Roman"/>
          <w:sz w:val="24"/>
        </w:rPr>
      </w:pPr>
      <w:proofErr w:type="spellStart"/>
      <w:r w:rsidRPr="0028061B">
        <w:rPr>
          <w:rFonts w:ascii="Times New Roman" w:hAnsi="Times New Roman" w:cs="Times New Roman"/>
          <w:sz w:val="24"/>
        </w:rPr>
        <w:t>Cheikh</w:t>
      </w:r>
      <w:proofErr w:type="spellEnd"/>
      <w:r w:rsidRPr="0028061B">
        <w:rPr>
          <w:rFonts w:ascii="Times New Roman" w:hAnsi="Times New Roman" w:cs="Times New Roman"/>
          <w:sz w:val="24"/>
        </w:rPr>
        <w:t xml:space="preserve"> </w:t>
      </w:r>
      <w:proofErr w:type="spellStart"/>
      <w:r w:rsidRPr="0028061B">
        <w:rPr>
          <w:rFonts w:ascii="Times New Roman" w:hAnsi="Times New Roman" w:cs="Times New Roman"/>
          <w:sz w:val="24"/>
        </w:rPr>
        <w:t>Ahmadou</w:t>
      </w:r>
      <w:proofErr w:type="spellEnd"/>
      <w:r w:rsidRPr="0028061B">
        <w:rPr>
          <w:rFonts w:ascii="Times New Roman" w:hAnsi="Times New Roman" w:cs="Times New Roman"/>
          <w:sz w:val="24"/>
        </w:rPr>
        <w:t xml:space="preserve"> MBODJI</w:t>
      </w:r>
      <w:r w:rsidRPr="0028061B">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28061B">
        <w:rPr>
          <w:rFonts w:ascii="Times New Roman" w:hAnsi="Times New Roman" w:cs="Times New Roman"/>
          <w:sz w:val="24"/>
        </w:rPr>
        <w:t>Djicknoum</w:t>
      </w:r>
      <w:proofErr w:type="spellEnd"/>
      <w:r w:rsidRPr="0028061B">
        <w:rPr>
          <w:rFonts w:ascii="Times New Roman" w:hAnsi="Times New Roman" w:cs="Times New Roman"/>
          <w:sz w:val="24"/>
        </w:rPr>
        <w:t xml:space="preserve"> DIOUF</w:t>
      </w:r>
      <w:r w:rsidRPr="0028061B">
        <w:rPr>
          <w:rFonts w:ascii="Times New Roman" w:hAnsi="Times New Roman" w:cs="Times New Roman"/>
          <w:sz w:val="24"/>
          <w:vertAlign w:val="superscript"/>
        </w:rPr>
        <w:t>1</w:t>
      </w:r>
      <w:r>
        <w:rPr>
          <w:rFonts w:ascii="Times New Roman" w:hAnsi="Times New Roman" w:cs="Times New Roman"/>
          <w:sz w:val="24"/>
        </w:rPr>
        <w:t xml:space="preserve">, </w:t>
      </w:r>
      <w:r w:rsidRPr="0028061B">
        <w:rPr>
          <w:rFonts w:ascii="Times New Roman" w:hAnsi="Times New Roman" w:cs="Times New Roman"/>
          <w:sz w:val="24"/>
        </w:rPr>
        <w:t>Bruno PIRIOU</w:t>
      </w:r>
      <w:r w:rsidRPr="0028061B">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28061B">
        <w:rPr>
          <w:rFonts w:ascii="Times New Roman" w:hAnsi="Times New Roman" w:cs="Times New Roman"/>
          <w:sz w:val="24"/>
        </w:rPr>
        <w:t>Amadou</w:t>
      </w:r>
      <w:proofErr w:type="spellEnd"/>
      <w:r w:rsidRPr="0028061B">
        <w:rPr>
          <w:rFonts w:ascii="Times New Roman" w:hAnsi="Times New Roman" w:cs="Times New Roman"/>
          <w:sz w:val="24"/>
        </w:rPr>
        <w:t xml:space="preserve"> </w:t>
      </w:r>
      <w:proofErr w:type="spellStart"/>
      <w:r w:rsidRPr="0028061B">
        <w:rPr>
          <w:rFonts w:ascii="Times New Roman" w:hAnsi="Times New Roman" w:cs="Times New Roman"/>
          <w:sz w:val="24"/>
        </w:rPr>
        <w:t>Seidou</w:t>
      </w:r>
      <w:proofErr w:type="spellEnd"/>
      <w:r w:rsidRPr="0028061B">
        <w:rPr>
          <w:rFonts w:ascii="Times New Roman" w:hAnsi="Times New Roman" w:cs="Times New Roman"/>
          <w:sz w:val="24"/>
        </w:rPr>
        <w:t xml:space="preserve"> MAIGA</w:t>
      </w:r>
      <w:r w:rsidRPr="0028061B">
        <w:rPr>
          <w:rFonts w:ascii="Times New Roman" w:hAnsi="Times New Roman" w:cs="Times New Roman"/>
          <w:sz w:val="24"/>
          <w:vertAlign w:val="superscript"/>
        </w:rPr>
        <w:t>3</w:t>
      </w:r>
    </w:p>
    <w:p w:rsidR="0028061B" w:rsidRPr="0028061B" w:rsidRDefault="0028061B" w:rsidP="0028061B">
      <w:pPr>
        <w:spacing w:after="0"/>
        <w:rPr>
          <w:rFonts w:ascii="Times New Roman" w:hAnsi="Times New Roman" w:cs="Times New Roman"/>
        </w:rPr>
      </w:pPr>
      <w:r w:rsidRPr="0028061B">
        <w:rPr>
          <w:rFonts w:ascii="Times New Roman" w:hAnsi="Times New Roman" w:cs="Times New Roman"/>
          <w:vertAlign w:val="superscript"/>
        </w:rPr>
        <w:t>1</w:t>
      </w:r>
      <w:r w:rsidRPr="0028061B">
        <w:rPr>
          <w:rFonts w:ascii="Times New Roman" w:hAnsi="Times New Roman" w:cs="Times New Roman"/>
        </w:rPr>
        <w:t>Gaston Berger University, Senegal</w:t>
      </w:r>
    </w:p>
    <w:p w:rsidR="0028061B" w:rsidRPr="0028061B" w:rsidRDefault="0028061B">
      <w:pPr>
        <w:rPr>
          <w:rFonts w:ascii="Times New Roman" w:hAnsi="Times New Roman" w:cs="Times New Roman"/>
        </w:rPr>
      </w:pPr>
      <w:r w:rsidRPr="0028061B">
        <w:rPr>
          <w:rFonts w:ascii="Times New Roman" w:hAnsi="Times New Roman" w:cs="Times New Roman"/>
          <w:vertAlign w:val="superscript"/>
        </w:rPr>
        <w:t>2</w:t>
      </w:r>
      <w:r w:rsidRPr="0028061B">
        <w:rPr>
          <w:rFonts w:ascii="Times New Roman" w:hAnsi="Times New Roman" w:cs="Times New Roman"/>
        </w:rPr>
        <w:t>CIRAD, France</w:t>
      </w:r>
    </w:p>
    <w:p w:rsidR="0028061B" w:rsidRPr="0028061B" w:rsidRDefault="0028061B" w:rsidP="0028061B">
      <w:pPr>
        <w:jc w:val="center"/>
        <w:rPr>
          <w:rFonts w:ascii="Times New Roman" w:hAnsi="Times New Roman" w:cs="Times New Roman"/>
          <w:b/>
          <w:sz w:val="24"/>
        </w:rPr>
      </w:pPr>
      <w:r w:rsidRPr="0028061B">
        <w:rPr>
          <w:rFonts w:ascii="Times New Roman" w:hAnsi="Times New Roman" w:cs="Times New Roman"/>
          <w:b/>
          <w:sz w:val="24"/>
        </w:rPr>
        <w:t>Abstract</w:t>
      </w:r>
    </w:p>
    <w:p w:rsidR="0028061B" w:rsidRDefault="0028061B" w:rsidP="0028061B">
      <w:pPr>
        <w:jc w:val="both"/>
        <w:rPr>
          <w:rFonts w:ascii="Times New Roman" w:hAnsi="Times New Roman" w:cs="Times New Roman"/>
          <w:sz w:val="20"/>
        </w:rPr>
      </w:pPr>
      <w:r w:rsidRPr="0028061B">
        <w:rPr>
          <w:rFonts w:ascii="Times New Roman" w:hAnsi="Times New Roman" w:cs="Times New Roman"/>
          <w:sz w:val="20"/>
        </w:rPr>
        <w:t xml:space="preserve">Biomass fuels, more specifically, pellets from agricultural residues have attracted interest rapidly in recent years. Pellets from agricultural residues often represent a better alternative to domestic fossil fuels (charcoal, firewood, conventional biomass), due to their accessibility but also their better density and higher calorific value. In the present work, we produce from residues of groundnut shell, corn cob, palm nutshell and </w:t>
      </w:r>
      <w:proofErr w:type="spellStart"/>
      <w:r w:rsidRPr="0028061B">
        <w:rPr>
          <w:rFonts w:ascii="Times New Roman" w:hAnsi="Times New Roman" w:cs="Times New Roman"/>
          <w:sz w:val="20"/>
        </w:rPr>
        <w:t>typha</w:t>
      </w:r>
      <w:proofErr w:type="spellEnd"/>
      <w:r w:rsidRPr="0028061B">
        <w:rPr>
          <w:rFonts w:ascii="Times New Roman" w:hAnsi="Times New Roman" w:cs="Times New Roman"/>
          <w:sz w:val="20"/>
        </w:rPr>
        <w:t>, simple pellets (a single residue) and mixed pellets (mixture of two residues in variable proportions). The characterizations of these pellets show that the pelleting of biomass residues makes it possible to significantly increase the Calorific Value (LCV) of simple pellets. The mixture of different agricultural residues makes it possible to have a much higher calorific value, with pellets with LCV greater than 19 MJ/kg. We also demonstrate the importance of pelleting in reducing the ash content for mixed pellets; the opposite phenomenon being observed for simple pellets. Our work also shows the importance of pelleting and blending of agricultural residues in reducing the formation of bottom ash and corrosion.</w:t>
      </w:r>
    </w:p>
    <w:p w:rsidR="0028061B" w:rsidRPr="0028061B" w:rsidRDefault="0028061B" w:rsidP="0028061B">
      <w:pPr>
        <w:rPr>
          <w:rFonts w:ascii="Times New Roman" w:hAnsi="Times New Roman" w:cs="Times New Roman"/>
          <w:b/>
          <w:sz w:val="24"/>
        </w:rPr>
      </w:pPr>
      <w:r w:rsidRPr="0028061B">
        <w:rPr>
          <w:rFonts w:ascii="Times New Roman" w:hAnsi="Times New Roman" w:cs="Times New Roman"/>
          <w:b/>
          <w:sz w:val="24"/>
        </w:rPr>
        <w:t xml:space="preserve">Biography </w:t>
      </w:r>
    </w:p>
    <w:p w:rsidR="0028061B" w:rsidRPr="0028061B" w:rsidRDefault="0028061B" w:rsidP="0028061B">
      <w:pPr>
        <w:jc w:val="both"/>
        <w:rPr>
          <w:rFonts w:ascii="Times New Roman" w:hAnsi="Times New Roman" w:cs="Times New Roman"/>
          <w:sz w:val="20"/>
        </w:rPr>
      </w:pPr>
      <w:proofErr w:type="spellStart"/>
      <w:r w:rsidRPr="0028061B">
        <w:rPr>
          <w:rFonts w:ascii="Times New Roman" w:hAnsi="Times New Roman" w:cs="Times New Roman"/>
          <w:sz w:val="20"/>
        </w:rPr>
        <w:t>Cheikh</w:t>
      </w:r>
      <w:proofErr w:type="spellEnd"/>
      <w:r w:rsidRPr="0028061B">
        <w:rPr>
          <w:rFonts w:ascii="Times New Roman" w:hAnsi="Times New Roman" w:cs="Times New Roman"/>
          <w:sz w:val="20"/>
        </w:rPr>
        <w:t xml:space="preserve"> </w:t>
      </w:r>
      <w:proofErr w:type="spellStart"/>
      <w:r w:rsidRPr="0028061B">
        <w:rPr>
          <w:rFonts w:ascii="Times New Roman" w:hAnsi="Times New Roman" w:cs="Times New Roman"/>
          <w:sz w:val="20"/>
        </w:rPr>
        <w:t>Ahmadou</w:t>
      </w:r>
      <w:proofErr w:type="spellEnd"/>
      <w:r w:rsidRPr="0028061B">
        <w:rPr>
          <w:rFonts w:ascii="Times New Roman" w:hAnsi="Times New Roman" w:cs="Times New Roman"/>
          <w:sz w:val="20"/>
        </w:rPr>
        <w:t xml:space="preserve"> MBODJI </w:t>
      </w:r>
      <w:r>
        <w:rPr>
          <w:rFonts w:ascii="Times New Roman" w:hAnsi="Times New Roman" w:cs="Times New Roman"/>
          <w:sz w:val="20"/>
        </w:rPr>
        <w:t>has been g</w:t>
      </w:r>
      <w:r w:rsidRPr="0028061B">
        <w:rPr>
          <w:rFonts w:ascii="Times New Roman" w:hAnsi="Times New Roman" w:cs="Times New Roman"/>
          <w:sz w:val="20"/>
        </w:rPr>
        <w:t>raduated from Gaston Berger University of Saint-Louis (Senegal)</w:t>
      </w:r>
      <w:r w:rsidRPr="0028061B">
        <w:rPr>
          <w:rFonts w:ascii="Times New Roman" w:hAnsi="Times New Roman" w:cs="Times New Roman"/>
          <w:sz w:val="20"/>
        </w:rPr>
        <w:t>;</w:t>
      </w:r>
      <w:r w:rsidRPr="0028061B">
        <w:rPr>
          <w:rFonts w:ascii="Times New Roman" w:hAnsi="Times New Roman" w:cs="Times New Roman"/>
          <w:sz w:val="20"/>
        </w:rPr>
        <w:t xml:space="preserve"> </w:t>
      </w:r>
      <w:r>
        <w:rPr>
          <w:rFonts w:ascii="Times New Roman" w:hAnsi="Times New Roman" w:cs="Times New Roman"/>
          <w:sz w:val="20"/>
        </w:rPr>
        <w:t>he</w:t>
      </w:r>
      <w:r w:rsidRPr="0028061B">
        <w:rPr>
          <w:rFonts w:ascii="Times New Roman" w:hAnsi="Times New Roman" w:cs="Times New Roman"/>
          <w:sz w:val="20"/>
        </w:rPr>
        <w:t xml:space="preserve"> holds a master’s degree in Renewable Energies. He is also finishing his PhD on the </w:t>
      </w:r>
      <w:proofErr w:type="spellStart"/>
      <w:r w:rsidRPr="0028061B">
        <w:rPr>
          <w:rFonts w:ascii="Times New Roman" w:hAnsi="Times New Roman" w:cs="Times New Roman"/>
          <w:sz w:val="20"/>
        </w:rPr>
        <w:t>valorisation</w:t>
      </w:r>
      <w:proofErr w:type="spellEnd"/>
      <w:r w:rsidRPr="0028061B">
        <w:rPr>
          <w:rFonts w:ascii="Times New Roman" w:hAnsi="Times New Roman" w:cs="Times New Roman"/>
          <w:sz w:val="20"/>
        </w:rPr>
        <w:t xml:space="preserve"> of crop residues in Senegal through gasification. </w:t>
      </w:r>
      <w:r>
        <w:rPr>
          <w:rFonts w:ascii="Times New Roman" w:hAnsi="Times New Roman" w:cs="Times New Roman"/>
          <w:sz w:val="20"/>
        </w:rPr>
        <w:t>He</w:t>
      </w:r>
      <w:r w:rsidRPr="0028061B">
        <w:rPr>
          <w:rFonts w:ascii="Times New Roman" w:hAnsi="Times New Roman" w:cs="Times New Roman"/>
          <w:sz w:val="20"/>
        </w:rPr>
        <w:t xml:space="preserve"> has expertise on feasibility study of energy projects, PV systems sizing, energetic audits and energy recovery from solid waste. Besides, he is also very interested in working for renewable energies integration into national grids, have worked previously in micro-grid (solar power plants) design for rural electrification. </w:t>
      </w:r>
      <w:r>
        <w:rPr>
          <w:rFonts w:ascii="Times New Roman" w:hAnsi="Times New Roman" w:cs="Times New Roman"/>
          <w:sz w:val="20"/>
        </w:rPr>
        <w:t>He</w:t>
      </w:r>
      <w:r w:rsidRPr="0028061B">
        <w:rPr>
          <w:rFonts w:ascii="Times New Roman" w:hAnsi="Times New Roman" w:cs="Times New Roman"/>
          <w:sz w:val="20"/>
        </w:rPr>
        <w:t xml:space="preserve"> was part of one research project from Austria Cooperation named “Sustainable Energy Access for Cities”, led by TU Vienna &amp; Technical University of </w:t>
      </w:r>
      <w:proofErr w:type="spellStart"/>
      <w:r w:rsidRPr="0028061B">
        <w:rPr>
          <w:rFonts w:ascii="Times New Roman" w:hAnsi="Times New Roman" w:cs="Times New Roman"/>
          <w:sz w:val="20"/>
        </w:rPr>
        <w:t>Thies</w:t>
      </w:r>
      <w:proofErr w:type="spellEnd"/>
      <w:r w:rsidRPr="0028061B">
        <w:rPr>
          <w:rFonts w:ascii="Times New Roman" w:hAnsi="Times New Roman" w:cs="Times New Roman"/>
          <w:sz w:val="20"/>
        </w:rPr>
        <w:t xml:space="preserve"> (Senegal), where they produced a database of knowledge on how distributed renewable generation and energy efficiency can be integrated in residential and commercial buildings as a contribution to the necessary energy transition, alongside with an energy planning tool, Energy System Map (ESMP).</w:t>
      </w:r>
      <w:bookmarkEnd w:id="0"/>
    </w:p>
    <w:sectPr w:rsidR="0028061B" w:rsidRPr="00280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61B"/>
    <w:rsid w:val="0028061B"/>
    <w:rsid w:val="0032354D"/>
    <w:rsid w:val="00474203"/>
    <w:rsid w:val="00535872"/>
    <w:rsid w:val="00924B33"/>
    <w:rsid w:val="00DA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2023-04-20T08:56:00Z</dcterms:created>
  <dcterms:modified xsi:type="dcterms:W3CDTF">2023-04-20T09:11:00Z</dcterms:modified>
</cp:coreProperties>
</file>