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355A8">
      <w:pPr>
        <w:rPr>
          <w:rFonts w:ascii="Times New Roman" w:hAnsi="Times New Roman" w:cs="Times New Roman"/>
          <w:b/>
          <w:sz w:val="32"/>
        </w:rPr>
      </w:pPr>
      <w:proofErr w:type="gramStart"/>
      <w:r w:rsidRPr="005355A8">
        <w:rPr>
          <w:rFonts w:ascii="Times New Roman" w:hAnsi="Times New Roman" w:cs="Times New Roman"/>
          <w:b/>
          <w:sz w:val="32"/>
        </w:rPr>
        <w:t>miR424</w:t>
      </w:r>
      <w:proofErr w:type="gramEnd"/>
      <w:r w:rsidRPr="005355A8">
        <w:rPr>
          <w:rFonts w:ascii="Times New Roman" w:hAnsi="Times New Roman" w:cs="Times New Roman"/>
          <w:b/>
          <w:sz w:val="32"/>
        </w:rPr>
        <w:t xml:space="preserve"> regulates antitumor response by targeting T cell infiltration and DC functions in colorectal cancer</w:t>
      </w:r>
    </w:p>
    <w:p w:rsidR="005355A8" w:rsidRPr="005355A8" w:rsidRDefault="005355A8">
      <w:pPr>
        <w:rPr>
          <w:rFonts w:ascii="Times New Roman" w:hAnsi="Times New Roman" w:cs="Times New Roman"/>
          <w:sz w:val="24"/>
        </w:rPr>
      </w:pPr>
      <w:proofErr w:type="spellStart"/>
      <w:r>
        <w:rPr>
          <w:rFonts w:ascii="Times New Roman" w:hAnsi="Times New Roman" w:cs="Times New Roman"/>
          <w:sz w:val="24"/>
        </w:rPr>
        <w:t>Hayet</w:t>
      </w:r>
      <w:proofErr w:type="spellEnd"/>
      <w:r>
        <w:rPr>
          <w:rFonts w:ascii="Times New Roman" w:hAnsi="Times New Roman" w:cs="Times New Roman"/>
          <w:sz w:val="24"/>
        </w:rPr>
        <w:t xml:space="preserve"> Rafa</w:t>
      </w:r>
      <w:r w:rsidRPr="005355A8">
        <w:rPr>
          <w:rFonts w:ascii="Times New Roman" w:hAnsi="Times New Roman" w:cs="Times New Roman"/>
          <w:sz w:val="24"/>
          <w:vertAlign w:val="superscript"/>
        </w:rPr>
        <w:t>1,2</w:t>
      </w:r>
      <w:r>
        <w:rPr>
          <w:rFonts w:ascii="Times New Roman" w:hAnsi="Times New Roman" w:cs="Times New Roman"/>
          <w:sz w:val="24"/>
        </w:rPr>
        <w:t xml:space="preserve">*, </w:t>
      </w:r>
      <w:proofErr w:type="spellStart"/>
      <w:r>
        <w:rPr>
          <w:rFonts w:ascii="Times New Roman" w:hAnsi="Times New Roman" w:cs="Times New Roman"/>
          <w:sz w:val="24"/>
        </w:rPr>
        <w:t>Sarra</w:t>
      </w:r>
      <w:proofErr w:type="spellEnd"/>
      <w:r>
        <w:rPr>
          <w:rFonts w:ascii="Times New Roman" w:hAnsi="Times New Roman" w:cs="Times New Roman"/>
          <w:sz w:val="24"/>
        </w:rPr>
        <w:t xml:space="preserve"> Benkhelifa</w:t>
      </w:r>
      <w:r w:rsidRPr="005355A8">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Mourad</w:t>
      </w:r>
      <w:proofErr w:type="spellEnd"/>
      <w:r>
        <w:rPr>
          <w:rFonts w:ascii="Times New Roman" w:hAnsi="Times New Roman" w:cs="Times New Roman"/>
          <w:sz w:val="24"/>
        </w:rPr>
        <w:t xml:space="preserve"> Belkhelfa</w:t>
      </w:r>
      <w:r w:rsidRPr="005355A8">
        <w:rPr>
          <w:rFonts w:ascii="Times New Roman" w:hAnsi="Times New Roman" w:cs="Times New Roman"/>
          <w:sz w:val="24"/>
          <w:vertAlign w:val="superscript"/>
        </w:rPr>
        <w:t>1</w:t>
      </w:r>
      <w:r>
        <w:rPr>
          <w:rFonts w:ascii="Times New Roman" w:hAnsi="Times New Roman" w:cs="Times New Roman"/>
          <w:sz w:val="24"/>
        </w:rPr>
        <w:t>, Said Belhadef</w:t>
      </w:r>
      <w:r w:rsidRPr="005355A8">
        <w:rPr>
          <w:rFonts w:ascii="Times New Roman" w:hAnsi="Times New Roman" w:cs="Times New Roman"/>
          <w:sz w:val="24"/>
          <w:vertAlign w:val="superscript"/>
        </w:rPr>
        <w:t>3</w:t>
      </w:r>
      <w:r>
        <w:rPr>
          <w:rFonts w:ascii="Times New Roman" w:hAnsi="Times New Roman" w:cs="Times New Roman"/>
          <w:sz w:val="24"/>
        </w:rPr>
        <w:t xml:space="preserve">, </w:t>
      </w:r>
      <w:proofErr w:type="spellStart"/>
      <w:r>
        <w:rPr>
          <w:rFonts w:ascii="Times New Roman" w:hAnsi="Times New Roman" w:cs="Times New Roman"/>
          <w:sz w:val="24"/>
        </w:rPr>
        <w:t>Amina</w:t>
      </w:r>
      <w:proofErr w:type="spellEnd"/>
      <w:r>
        <w:rPr>
          <w:rFonts w:ascii="Times New Roman" w:hAnsi="Times New Roman" w:cs="Times New Roman"/>
          <w:sz w:val="24"/>
        </w:rPr>
        <w:t xml:space="preserve"> Boumahdi</w:t>
      </w:r>
      <w:r w:rsidRPr="005355A8">
        <w:rPr>
          <w:rFonts w:ascii="Times New Roman" w:hAnsi="Times New Roman" w:cs="Times New Roman"/>
          <w:sz w:val="24"/>
          <w:vertAlign w:val="superscript"/>
        </w:rPr>
        <w:t>4</w:t>
      </w:r>
      <w:r>
        <w:rPr>
          <w:rFonts w:ascii="Times New Roman" w:hAnsi="Times New Roman" w:cs="Times New Roman"/>
          <w:sz w:val="24"/>
        </w:rPr>
        <w:t xml:space="preserve">, Hayat </w:t>
      </w:r>
      <w:proofErr w:type="spellStart"/>
      <w:r>
        <w:rPr>
          <w:rFonts w:ascii="Times New Roman" w:hAnsi="Times New Roman" w:cs="Times New Roman"/>
          <w:sz w:val="24"/>
        </w:rPr>
        <w:t>Ait</w:t>
      </w:r>
      <w:proofErr w:type="spellEnd"/>
      <w:r>
        <w:rPr>
          <w:rFonts w:ascii="Times New Roman" w:hAnsi="Times New Roman" w:cs="Times New Roman"/>
          <w:sz w:val="24"/>
        </w:rPr>
        <w:t xml:space="preserve"> Kaci</w:t>
      </w:r>
      <w:r w:rsidRPr="005355A8">
        <w:rPr>
          <w:rFonts w:ascii="Times New Roman" w:hAnsi="Times New Roman" w:cs="Times New Roman"/>
          <w:sz w:val="24"/>
          <w:vertAlign w:val="superscript"/>
        </w:rPr>
        <w:t>4</w:t>
      </w:r>
      <w:r>
        <w:rPr>
          <w:rFonts w:ascii="Times New Roman" w:hAnsi="Times New Roman" w:cs="Times New Roman"/>
          <w:sz w:val="24"/>
        </w:rPr>
        <w:t xml:space="preserve">, </w:t>
      </w:r>
      <w:proofErr w:type="spellStart"/>
      <w:r>
        <w:rPr>
          <w:rFonts w:ascii="Times New Roman" w:hAnsi="Times New Roman" w:cs="Times New Roman"/>
          <w:sz w:val="24"/>
        </w:rPr>
        <w:t>Hassen</w:t>
      </w:r>
      <w:proofErr w:type="spellEnd"/>
      <w:r>
        <w:rPr>
          <w:rFonts w:ascii="Times New Roman" w:hAnsi="Times New Roman" w:cs="Times New Roman"/>
          <w:sz w:val="24"/>
        </w:rPr>
        <w:t xml:space="preserve"> Mahfouf</w:t>
      </w:r>
      <w:r w:rsidRPr="005355A8">
        <w:rPr>
          <w:rFonts w:ascii="Times New Roman" w:hAnsi="Times New Roman" w:cs="Times New Roman"/>
          <w:sz w:val="24"/>
          <w:vertAlign w:val="superscript"/>
        </w:rPr>
        <w:t>3</w:t>
      </w:r>
      <w:r>
        <w:rPr>
          <w:rFonts w:ascii="Times New Roman" w:hAnsi="Times New Roman" w:cs="Times New Roman"/>
          <w:sz w:val="24"/>
        </w:rPr>
        <w:t xml:space="preserve">, </w:t>
      </w:r>
      <w:proofErr w:type="spellStart"/>
      <w:r>
        <w:rPr>
          <w:rFonts w:ascii="Times New Roman" w:hAnsi="Times New Roman" w:cs="Times New Roman"/>
          <w:sz w:val="24"/>
        </w:rPr>
        <w:t>Ghania</w:t>
      </w:r>
      <w:proofErr w:type="spellEnd"/>
      <w:r>
        <w:rPr>
          <w:rFonts w:ascii="Times New Roman" w:hAnsi="Times New Roman" w:cs="Times New Roman"/>
          <w:sz w:val="24"/>
        </w:rPr>
        <w:t xml:space="preserve"> Benkhedda</w:t>
      </w:r>
      <w:r w:rsidRPr="005355A8">
        <w:rPr>
          <w:rFonts w:ascii="Times New Roman" w:hAnsi="Times New Roman" w:cs="Times New Roman"/>
          <w:sz w:val="24"/>
          <w:vertAlign w:val="superscript"/>
        </w:rPr>
        <w:t>4</w:t>
      </w:r>
      <w:r>
        <w:rPr>
          <w:rFonts w:ascii="Times New Roman" w:hAnsi="Times New Roman" w:cs="Times New Roman"/>
          <w:sz w:val="24"/>
        </w:rPr>
        <w:t>, Olivier Moralès</w:t>
      </w:r>
      <w:r w:rsidRPr="005355A8">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Nadira</w:t>
      </w:r>
      <w:proofErr w:type="spellEnd"/>
      <w:r>
        <w:rPr>
          <w:rFonts w:ascii="Times New Roman" w:hAnsi="Times New Roman" w:cs="Times New Roman"/>
          <w:sz w:val="24"/>
        </w:rPr>
        <w:t xml:space="preserve"> Delhem</w:t>
      </w:r>
      <w:r w:rsidRPr="005355A8">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Pr>
          <w:rFonts w:ascii="Times New Roman" w:hAnsi="Times New Roman" w:cs="Times New Roman"/>
          <w:sz w:val="24"/>
        </w:rPr>
        <w:t>Chafia</w:t>
      </w:r>
      <w:proofErr w:type="spellEnd"/>
      <w:r>
        <w:rPr>
          <w:rFonts w:ascii="Times New Roman" w:hAnsi="Times New Roman" w:cs="Times New Roman"/>
          <w:sz w:val="24"/>
        </w:rPr>
        <w:t xml:space="preserve"> Touil-Boukoffa</w:t>
      </w:r>
      <w:r w:rsidRPr="005355A8">
        <w:rPr>
          <w:rFonts w:ascii="Times New Roman" w:hAnsi="Times New Roman" w:cs="Times New Roman"/>
          <w:sz w:val="24"/>
          <w:vertAlign w:val="superscript"/>
        </w:rPr>
        <w:t>1</w:t>
      </w:r>
    </w:p>
    <w:p w:rsidR="005355A8" w:rsidRDefault="005355A8" w:rsidP="005355A8">
      <w:pPr>
        <w:spacing w:after="0"/>
        <w:rPr>
          <w:rFonts w:ascii="Times New Roman" w:hAnsi="Times New Roman" w:cs="Times New Roman"/>
        </w:rPr>
      </w:pPr>
      <w:r w:rsidRPr="005355A8">
        <w:rPr>
          <w:rFonts w:ascii="Times New Roman" w:hAnsi="Times New Roman" w:cs="Times New Roman"/>
          <w:vertAlign w:val="superscript"/>
        </w:rPr>
        <w:t>1</w:t>
      </w:r>
      <w:r w:rsidRPr="005355A8">
        <w:rPr>
          <w:rFonts w:ascii="Times New Roman" w:hAnsi="Times New Roman" w:cs="Times New Roman"/>
        </w:rPr>
        <w:t xml:space="preserve">University </w:t>
      </w:r>
      <w:r>
        <w:rPr>
          <w:rFonts w:ascii="Times New Roman" w:hAnsi="Times New Roman" w:cs="Times New Roman"/>
        </w:rPr>
        <w:t>o</w:t>
      </w:r>
      <w:r w:rsidRPr="005355A8">
        <w:rPr>
          <w:rFonts w:ascii="Times New Roman" w:hAnsi="Times New Roman" w:cs="Times New Roman"/>
        </w:rPr>
        <w:t xml:space="preserve">f Science </w:t>
      </w:r>
      <w:r>
        <w:rPr>
          <w:rFonts w:ascii="Times New Roman" w:hAnsi="Times New Roman" w:cs="Times New Roman"/>
        </w:rPr>
        <w:t>a</w:t>
      </w:r>
      <w:r w:rsidRPr="005355A8">
        <w:rPr>
          <w:rFonts w:ascii="Times New Roman" w:hAnsi="Times New Roman" w:cs="Times New Roman"/>
        </w:rPr>
        <w:t xml:space="preserve">nd Technology </w:t>
      </w:r>
      <w:proofErr w:type="spellStart"/>
      <w:r w:rsidRPr="005355A8">
        <w:rPr>
          <w:rFonts w:ascii="Times New Roman" w:hAnsi="Times New Roman" w:cs="Times New Roman"/>
        </w:rPr>
        <w:t>Houari</w:t>
      </w:r>
      <w:proofErr w:type="spellEnd"/>
      <w:r w:rsidRPr="005355A8">
        <w:rPr>
          <w:rFonts w:ascii="Times New Roman" w:hAnsi="Times New Roman" w:cs="Times New Roman"/>
        </w:rPr>
        <w:t xml:space="preserve"> </w:t>
      </w:r>
      <w:proofErr w:type="spellStart"/>
      <w:r w:rsidRPr="005355A8">
        <w:rPr>
          <w:rFonts w:ascii="Times New Roman" w:hAnsi="Times New Roman" w:cs="Times New Roman"/>
        </w:rPr>
        <w:t>Boumediene</w:t>
      </w:r>
      <w:proofErr w:type="spellEnd"/>
      <w:r>
        <w:rPr>
          <w:rFonts w:ascii="Times New Roman" w:hAnsi="Times New Roman" w:cs="Times New Roman"/>
        </w:rPr>
        <w:t xml:space="preserve">, </w:t>
      </w:r>
      <w:r w:rsidRPr="005355A8">
        <w:rPr>
          <w:rFonts w:ascii="Times New Roman" w:hAnsi="Times New Roman" w:cs="Times New Roman"/>
        </w:rPr>
        <w:t>Algeria</w:t>
      </w:r>
    </w:p>
    <w:p w:rsidR="005355A8" w:rsidRDefault="005355A8" w:rsidP="005355A8">
      <w:pPr>
        <w:spacing w:after="0"/>
        <w:rPr>
          <w:rFonts w:ascii="Times New Roman" w:hAnsi="Times New Roman" w:cs="Times New Roman"/>
        </w:rPr>
      </w:pPr>
      <w:r w:rsidRPr="005355A8">
        <w:rPr>
          <w:rFonts w:ascii="Times New Roman" w:hAnsi="Times New Roman" w:cs="Times New Roman"/>
          <w:vertAlign w:val="superscript"/>
        </w:rPr>
        <w:t>2</w:t>
      </w:r>
      <w:r w:rsidRPr="005355A8">
        <w:rPr>
          <w:rFonts w:ascii="Times New Roman" w:hAnsi="Times New Roman" w:cs="Times New Roman"/>
        </w:rPr>
        <w:t>University of Lille</w:t>
      </w:r>
      <w:r>
        <w:rPr>
          <w:rFonts w:ascii="Times New Roman" w:hAnsi="Times New Roman" w:cs="Times New Roman"/>
        </w:rPr>
        <w:t>, France</w:t>
      </w:r>
    </w:p>
    <w:p w:rsidR="005355A8" w:rsidRDefault="005355A8" w:rsidP="005355A8">
      <w:pPr>
        <w:spacing w:after="0"/>
        <w:rPr>
          <w:rFonts w:ascii="Times New Roman" w:hAnsi="Times New Roman" w:cs="Times New Roman"/>
        </w:rPr>
      </w:pPr>
      <w:r w:rsidRPr="005355A8">
        <w:rPr>
          <w:rFonts w:ascii="Times New Roman" w:hAnsi="Times New Roman" w:cs="Times New Roman"/>
          <w:vertAlign w:val="superscript"/>
        </w:rPr>
        <w:t>3</w:t>
      </w:r>
      <w:r w:rsidRPr="005355A8">
        <w:rPr>
          <w:rFonts w:ascii="Times New Roman" w:hAnsi="Times New Roman" w:cs="Times New Roman"/>
        </w:rPr>
        <w:t>Mustapha University Hospital Center</w:t>
      </w:r>
      <w:r>
        <w:rPr>
          <w:rFonts w:ascii="Times New Roman" w:hAnsi="Times New Roman" w:cs="Times New Roman"/>
        </w:rPr>
        <w:t>, Algeria</w:t>
      </w:r>
    </w:p>
    <w:p w:rsidR="005355A8" w:rsidRDefault="005355A8">
      <w:pPr>
        <w:rPr>
          <w:rFonts w:ascii="Times New Roman" w:hAnsi="Times New Roman" w:cs="Times New Roman"/>
        </w:rPr>
      </w:pPr>
      <w:r w:rsidRPr="005355A8">
        <w:rPr>
          <w:rFonts w:ascii="Times New Roman" w:hAnsi="Times New Roman" w:cs="Times New Roman"/>
          <w:vertAlign w:val="superscript"/>
        </w:rPr>
        <w:t>4</w:t>
      </w:r>
      <w:r w:rsidRPr="005355A8">
        <w:rPr>
          <w:rFonts w:ascii="Times New Roman" w:hAnsi="Times New Roman" w:cs="Times New Roman"/>
        </w:rPr>
        <w:t>Rouiba Hospital,</w:t>
      </w:r>
      <w:r>
        <w:rPr>
          <w:rFonts w:ascii="Times New Roman" w:hAnsi="Times New Roman" w:cs="Times New Roman"/>
        </w:rPr>
        <w:t xml:space="preserve"> Algeria</w:t>
      </w:r>
    </w:p>
    <w:p w:rsidR="005355A8" w:rsidRPr="005355A8" w:rsidRDefault="005355A8" w:rsidP="005355A8">
      <w:pPr>
        <w:jc w:val="center"/>
        <w:rPr>
          <w:rFonts w:ascii="Times New Roman" w:hAnsi="Times New Roman" w:cs="Times New Roman"/>
          <w:b/>
          <w:sz w:val="24"/>
        </w:rPr>
      </w:pPr>
      <w:r w:rsidRPr="005355A8">
        <w:rPr>
          <w:rFonts w:ascii="Times New Roman" w:hAnsi="Times New Roman" w:cs="Times New Roman"/>
          <w:b/>
          <w:sz w:val="24"/>
        </w:rPr>
        <w:t>Abstract</w:t>
      </w:r>
      <w:bookmarkStart w:id="0" w:name="_GoBack"/>
      <w:bookmarkEnd w:id="0"/>
    </w:p>
    <w:p w:rsidR="005355A8" w:rsidRDefault="005355A8" w:rsidP="005355A8">
      <w:pPr>
        <w:jc w:val="both"/>
        <w:rPr>
          <w:rFonts w:ascii="Times New Roman" w:hAnsi="Times New Roman" w:cs="Times New Roman"/>
          <w:sz w:val="20"/>
        </w:rPr>
      </w:pPr>
      <w:r w:rsidRPr="005355A8">
        <w:rPr>
          <w:rFonts w:ascii="Times New Roman" w:hAnsi="Times New Roman" w:cs="Times New Roman"/>
          <w:b/>
          <w:sz w:val="20"/>
        </w:rPr>
        <w:t>Statement of the problem:</w:t>
      </w:r>
      <w:r w:rsidRPr="005355A8">
        <w:rPr>
          <w:rFonts w:ascii="Times New Roman" w:hAnsi="Times New Roman" w:cs="Times New Roman"/>
          <w:sz w:val="20"/>
        </w:rPr>
        <w:t xml:space="preserve"> A major factor involved in initial resistance to Immune Checkpoint Blocking antibodies (ICBs) is the lack of </w:t>
      </w:r>
      <w:proofErr w:type="spellStart"/>
      <w:r w:rsidRPr="005355A8">
        <w:rPr>
          <w:rFonts w:ascii="Times New Roman" w:hAnsi="Times New Roman" w:cs="Times New Roman"/>
          <w:sz w:val="20"/>
        </w:rPr>
        <w:t>tumour</w:t>
      </w:r>
      <w:proofErr w:type="spellEnd"/>
      <w:r w:rsidRPr="005355A8">
        <w:rPr>
          <w:rFonts w:ascii="Times New Roman" w:hAnsi="Times New Roman" w:cs="Times New Roman"/>
          <w:sz w:val="20"/>
        </w:rPr>
        <w:t xml:space="preserve"> T cell infiltration and dendritic cell dysfunction (cold </w:t>
      </w:r>
      <w:proofErr w:type="spellStart"/>
      <w:r w:rsidRPr="005355A8">
        <w:rPr>
          <w:rFonts w:ascii="Times New Roman" w:hAnsi="Times New Roman" w:cs="Times New Roman"/>
          <w:sz w:val="20"/>
        </w:rPr>
        <w:t>tumours</w:t>
      </w:r>
      <w:proofErr w:type="spellEnd"/>
      <w:r w:rsidRPr="005355A8">
        <w:rPr>
          <w:rFonts w:ascii="Times New Roman" w:hAnsi="Times New Roman" w:cs="Times New Roman"/>
          <w:sz w:val="20"/>
        </w:rPr>
        <w:t xml:space="preserve">). Therefore, one of the major challenges in this context is to define strategies to convert cold tumors into hot </w:t>
      </w:r>
      <w:proofErr w:type="spellStart"/>
      <w:r w:rsidRPr="005355A8">
        <w:rPr>
          <w:rFonts w:ascii="Times New Roman" w:hAnsi="Times New Roman" w:cs="Times New Roman"/>
          <w:sz w:val="20"/>
        </w:rPr>
        <w:t>tumours</w:t>
      </w:r>
      <w:proofErr w:type="spellEnd"/>
      <w:r w:rsidRPr="005355A8">
        <w:rPr>
          <w:rFonts w:ascii="Times New Roman" w:hAnsi="Times New Roman" w:cs="Times New Roman"/>
          <w:sz w:val="20"/>
        </w:rPr>
        <w:t xml:space="preserve">. A sufficient infiltration into the tumor and successful T cell activation has been identified as predictors. Deciphering the underlying mechanisms is critical to improving immunotherapy in CRC. The aim of this study was to investigate the </w:t>
      </w:r>
      <w:r>
        <w:rPr>
          <w:rFonts w:ascii="Times New Roman" w:hAnsi="Times New Roman" w:cs="Times New Roman"/>
          <w:sz w:val="20"/>
        </w:rPr>
        <w:t xml:space="preserve">role of </w:t>
      </w:r>
      <w:proofErr w:type="spellStart"/>
      <w:r>
        <w:rPr>
          <w:rFonts w:ascii="Times New Roman" w:hAnsi="Times New Roman" w:cs="Times New Roman"/>
          <w:sz w:val="20"/>
        </w:rPr>
        <w:t>Exosomal</w:t>
      </w:r>
      <w:proofErr w:type="spellEnd"/>
      <w:r>
        <w:rPr>
          <w:rFonts w:ascii="Times New Roman" w:hAnsi="Times New Roman" w:cs="Times New Roman"/>
          <w:sz w:val="20"/>
        </w:rPr>
        <w:t xml:space="preserve"> miR424 (small-</w:t>
      </w:r>
      <w:r w:rsidRPr="005355A8">
        <w:rPr>
          <w:rFonts w:ascii="Times New Roman" w:hAnsi="Times New Roman" w:cs="Times New Roman"/>
          <w:sz w:val="20"/>
        </w:rPr>
        <w:t xml:space="preserve">non coding RNA) on ICBs resistance in CRC. </w:t>
      </w:r>
    </w:p>
    <w:p w:rsidR="005355A8" w:rsidRDefault="005355A8" w:rsidP="005355A8">
      <w:pPr>
        <w:jc w:val="both"/>
        <w:rPr>
          <w:rFonts w:ascii="Times New Roman" w:hAnsi="Times New Roman" w:cs="Times New Roman"/>
          <w:sz w:val="20"/>
        </w:rPr>
      </w:pPr>
      <w:r w:rsidRPr="005355A8">
        <w:rPr>
          <w:rFonts w:ascii="Times New Roman" w:hAnsi="Times New Roman" w:cs="Times New Roman"/>
          <w:b/>
          <w:sz w:val="20"/>
        </w:rPr>
        <w:t>Methodology &amp; theoretical orientation:</w:t>
      </w:r>
      <w:r w:rsidRPr="005355A8">
        <w:rPr>
          <w:rFonts w:ascii="Times New Roman" w:hAnsi="Times New Roman" w:cs="Times New Roman"/>
          <w:sz w:val="20"/>
        </w:rPr>
        <w:t xml:space="preserve"> Immunological markers and miR424 expression was </w:t>
      </w:r>
      <w:proofErr w:type="spellStart"/>
      <w:r w:rsidRPr="005355A8">
        <w:rPr>
          <w:rFonts w:ascii="Times New Roman" w:hAnsi="Times New Roman" w:cs="Times New Roman"/>
          <w:sz w:val="20"/>
        </w:rPr>
        <w:t>analysed</w:t>
      </w:r>
      <w:proofErr w:type="spellEnd"/>
      <w:r w:rsidRPr="005355A8">
        <w:rPr>
          <w:rFonts w:ascii="Times New Roman" w:hAnsi="Times New Roman" w:cs="Times New Roman"/>
          <w:sz w:val="20"/>
        </w:rPr>
        <w:t xml:space="preserve"> in MSI and MSS-CRC patients by different technique</w:t>
      </w:r>
      <w:r>
        <w:rPr>
          <w:rFonts w:ascii="Times New Roman" w:hAnsi="Times New Roman" w:cs="Times New Roman"/>
          <w:sz w:val="20"/>
        </w:rPr>
        <w:t xml:space="preserve">s (Flow </w:t>
      </w:r>
      <w:proofErr w:type="spellStart"/>
      <w:r>
        <w:rPr>
          <w:rFonts w:ascii="Times New Roman" w:hAnsi="Times New Roman" w:cs="Times New Roman"/>
          <w:sz w:val="20"/>
        </w:rPr>
        <w:t>cytometry</w:t>
      </w:r>
      <w:proofErr w:type="spellEnd"/>
      <w:r>
        <w:rPr>
          <w:rFonts w:ascii="Times New Roman" w:hAnsi="Times New Roman" w:cs="Times New Roman"/>
          <w:sz w:val="20"/>
        </w:rPr>
        <w:t>, RT-PCR, IHC</w:t>
      </w:r>
      <w:r w:rsidRPr="005355A8">
        <w:rPr>
          <w:rFonts w:ascii="Times New Roman" w:hAnsi="Times New Roman" w:cs="Times New Roman"/>
          <w:sz w:val="20"/>
        </w:rPr>
        <w:t xml:space="preserve">). The role of miR424 on ICBs failure was investigated by 2D and 3D </w:t>
      </w:r>
      <w:r w:rsidRPr="005355A8">
        <w:rPr>
          <w:rFonts w:ascii="Times New Roman" w:hAnsi="Times New Roman" w:cs="Times New Roman"/>
          <w:i/>
          <w:sz w:val="20"/>
        </w:rPr>
        <w:t>in vitro</w:t>
      </w:r>
      <w:r w:rsidRPr="005355A8">
        <w:rPr>
          <w:rFonts w:ascii="Times New Roman" w:hAnsi="Times New Roman" w:cs="Times New Roman"/>
          <w:sz w:val="20"/>
        </w:rPr>
        <w:t xml:space="preserve"> and </w:t>
      </w:r>
      <w:r w:rsidRPr="005355A8">
        <w:rPr>
          <w:rFonts w:ascii="Times New Roman" w:hAnsi="Times New Roman" w:cs="Times New Roman"/>
          <w:i/>
          <w:sz w:val="20"/>
        </w:rPr>
        <w:t>ex vivo</w:t>
      </w:r>
      <w:r w:rsidRPr="005355A8">
        <w:rPr>
          <w:rFonts w:ascii="Times New Roman" w:hAnsi="Times New Roman" w:cs="Times New Roman"/>
          <w:sz w:val="20"/>
        </w:rPr>
        <w:t xml:space="preserve"> experiments. </w:t>
      </w:r>
    </w:p>
    <w:p w:rsidR="005355A8" w:rsidRDefault="005355A8" w:rsidP="005355A8">
      <w:pPr>
        <w:jc w:val="both"/>
        <w:rPr>
          <w:rFonts w:ascii="Times New Roman" w:hAnsi="Times New Roman" w:cs="Times New Roman"/>
          <w:sz w:val="20"/>
        </w:rPr>
      </w:pPr>
      <w:r w:rsidRPr="005355A8">
        <w:rPr>
          <w:rFonts w:ascii="Times New Roman" w:hAnsi="Times New Roman" w:cs="Times New Roman"/>
          <w:b/>
          <w:sz w:val="20"/>
        </w:rPr>
        <w:t>Findings:</w:t>
      </w:r>
      <w:r w:rsidRPr="005355A8">
        <w:rPr>
          <w:rFonts w:ascii="Times New Roman" w:hAnsi="Times New Roman" w:cs="Times New Roman"/>
          <w:sz w:val="20"/>
        </w:rPr>
        <w:t xml:space="preserve"> Analysis of samples from CRC patients showed that the MSI-CRC (Hot tumors) had significantly higher numbers of tumor infiltrating T cells (CD3+CD4+, CD3+CD8+) compared with MSS-CRC (Cold tumors). Our results showed that the up</w:t>
      </w:r>
      <w:r>
        <w:rPr>
          <w:rFonts w:ascii="Times New Roman" w:hAnsi="Times New Roman" w:cs="Times New Roman"/>
          <w:sz w:val="20"/>
        </w:rPr>
        <w:t>-</w:t>
      </w:r>
      <w:r w:rsidRPr="005355A8">
        <w:rPr>
          <w:rFonts w:ascii="Times New Roman" w:hAnsi="Times New Roman" w:cs="Times New Roman"/>
          <w:sz w:val="20"/>
        </w:rPr>
        <w:t xml:space="preserve">regulation of </w:t>
      </w:r>
      <w:proofErr w:type="spellStart"/>
      <w:r w:rsidRPr="005355A8">
        <w:rPr>
          <w:rFonts w:ascii="Times New Roman" w:hAnsi="Times New Roman" w:cs="Times New Roman"/>
          <w:sz w:val="20"/>
        </w:rPr>
        <w:t>Exosomal</w:t>
      </w:r>
      <w:proofErr w:type="spellEnd"/>
      <w:r w:rsidRPr="005355A8">
        <w:rPr>
          <w:rFonts w:ascii="Times New Roman" w:hAnsi="Times New Roman" w:cs="Times New Roman"/>
          <w:sz w:val="20"/>
        </w:rPr>
        <w:t xml:space="preserve"> miR424 is inversely correlated with CD8, CD80/CD86, CTLA4, PD1/PDL1, CTLA-4 and CD28 expression in tumors. We have also demonstrated that miR424 inhibits immunogenic DC generation, migration and functions in co-culture with tumors. The relationship between the up</w:t>
      </w:r>
      <w:r>
        <w:rPr>
          <w:rFonts w:ascii="Times New Roman" w:hAnsi="Times New Roman" w:cs="Times New Roman"/>
          <w:sz w:val="20"/>
        </w:rPr>
        <w:t>-</w:t>
      </w:r>
      <w:r w:rsidRPr="005355A8">
        <w:rPr>
          <w:rFonts w:ascii="Times New Roman" w:hAnsi="Times New Roman" w:cs="Times New Roman"/>
          <w:sz w:val="20"/>
        </w:rPr>
        <w:t xml:space="preserve">regulation of miR424 and immune cells migration and functions were confirmed by 2D and 3D </w:t>
      </w:r>
      <w:r w:rsidRPr="005355A8">
        <w:rPr>
          <w:rFonts w:ascii="Times New Roman" w:hAnsi="Times New Roman" w:cs="Times New Roman"/>
          <w:i/>
          <w:sz w:val="20"/>
        </w:rPr>
        <w:t>ex vivo</w:t>
      </w:r>
      <w:r w:rsidRPr="005355A8">
        <w:rPr>
          <w:rFonts w:ascii="Times New Roman" w:hAnsi="Times New Roman" w:cs="Times New Roman"/>
          <w:sz w:val="20"/>
        </w:rPr>
        <w:t xml:space="preserve"> experiments and the critical role of miR424 in ICBs failure was suggested. </w:t>
      </w:r>
      <w:proofErr w:type="spellStart"/>
      <w:r w:rsidRPr="005355A8">
        <w:rPr>
          <w:rFonts w:ascii="Times New Roman" w:hAnsi="Times New Roman" w:cs="Times New Roman"/>
          <w:sz w:val="20"/>
        </w:rPr>
        <w:t>Exosomal</w:t>
      </w:r>
      <w:proofErr w:type="spellEnd"/>
      <w:r w:rsidRPr="005355A8">
        <w:rPr>
          <w:rFonts w:ascii="Times New Roman" w:hAnsi="Times New Roman" w:cs="Times New Roman"/>
          <w:sz w:val="20"/>
        </w:rPr>
        <w:t xml:space="preserve"> miR424 down-regulates PD1, PDL-1, CTLA-4, CD28, MHC-I and </w:t>
      </w:r>
      <w:proofErr w:type="spellStart"/>
      <w:r w:rsidRPr="005355A8">
        <w:rPr>
          <w:rFonts w:ascii="Times New Roman" w:hAnsi="Times New Roman" w:cs="Times New Roman"/>
          <w:sz w:val="20"/>
        </w:rPr>
        <w:t>Granzyme</w:t>
      </w:r>
      <w:proofErr w:type="spellEnd"/>
      <w:r w:rsidRPr="005355A8">
        <w:rPr>
          <w:rFonts w:ascii="Times New Roman" w:hAnsi="Times New Roman" w:cs="Times New Roman"/>
          <w:sz w:val="20"/>
        </w:rPr>
        <w:t xml:space="preserve"> B and </w:t>
      </w:r>
      <w:proofErr w:type="spellStart"/>
      <w:r w:rsidRPr="005355A8">
        <w:rPr>
          <w:rFonts w:ascii="Times New Roman" w:hAnsi="Times New Roman" w:cs="Times New Roman"/>
          <w:sz w:val="20"/>
        </w:rPr>
        <w:t>chemokines</w:t>
      </w:r>
      <w:proofErr w:type="spellEnd"/>
      <w:r w:rsidRPr="005355A8">
        <w:rPr>
          <w:rFonts w:ascii="Times New Roman" w:hAnsi="Times New Roman" w:cs="Times New Roman"/>
          <w:sz w:val="20"/>
        </w:rPr>
        <w:t xml:space="preserve"> expression</w:t>
      </w:r>
      <w:r w:rsidR="005E28A3">
        <w:rPr>
          <w:rFonts w:ascii="Times New Roman" w:hAnsi="Times New Roman" w:cs="Times New Roman"/>
          <w:sz w:val="20"/>
        </w:rPr>
        <w:t xml:space="preserve"> [Figure 1]</w:t>
      </w:r>
      <w:r w:rsidRPr="005355A8">
        <w:rPr>
          <w:rFonts w:ascii="Times New Roman" w:hAnsi="Times New Roman" w:cs="Times New Roman"/>
          <w:sz w:val="20"/>
        </w:rPr>
        <w:t xml:space="preserve">. </w:t>
      </w:r>
    </w:p>
    <w:p w:rsidR="005E28A3" w:rsidRDefault="005E28A3" w:rsidP="005E28A3">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59B8BFD">
            <wp:extent cx="3164205" cy="17068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706880"/>
                    </a:xfrm>
                    <a:prstGeom prst="rect">
                      <a:avLst/>
                    </a:prstGeom>
                    <a:noFill/>
                  </pic:spPr>
                </pic:pic>
              </a:graphicData>
            </a:graphic>
          </wp:inline>
        </w:drawing>
      </w:r>
    </w:p>
    <w:p w:rsidR="005E28A3" w:rsidRPr="005E28A3" w:rsidRDefault="005E28A3" w:rsidP="005E28A3">
      <w:pPr>
        <w:jc w:val="center"/>
        <w:rPr>
          <w:rFonts w:ascii="Times New Roman" w:hAnsi="Times New Roman" w:cs="Times New Roman"/>
          <w:i/>
          <w:sz w:val="18"/>
        </w:rPr>
      </w:pPr>
      <w:proofErr w:type="gramStart"/>
      <w:r w:rsidRPr="005E28A3">
        <w:rPr>
          <w:rFonts w:ascii="Times New Roman" w:hAnsi="Times New Roman" w:cs="Times New Roman"/>
          <w:b/>
          <w:i/>
          <w:sz w:val="18"/>
        </w:rPr>
        <w:t>Figure 1.</w:t>
      </w:r>
      <w:proofErr w:type="gramEnd"/>
      <w:r w:rsidRPr="005E28A3">
        <w:rPr>
          <w:rFonts w:ascii="Times New Roman" w:hAnsi="Times New Roman" w:cs="Times New Roman"/>
          <w:i/>
          <w:sz w:val="18"/>
        </w:rPr>
        <w:t xml:space="preserve"> </w:t>
      </w:r>
      <w:proofErr w:type="gramStart"/>
      <w:r w:rsidRPr="005E28A3">
        <w:rPr>
          <w:rFonts w:ascii="Times New Roman" w:hAnsi="Times New Roman" w:cs="Times New Roman"/>
          <w:i/>
          <w:sz w:val="18"/>
        </w:rPr>
        <w:t xml:space="preserve">The critical role of </w:t>
      </w:r>
      <w:proofErr w:type="spellStart"/>
      <w:r w:rsidRPr="005E28A3">
        <w:rPr>
          <w:rFonts w:ascii="Times New Roman" w:hAnsi="Times New Roman" w:cs="Times New Roman"/>
          <w:i/>
          <w:sz w:val="18"/>
        </w:rPr>
        <w:t>exosomal</w:t>
      </w:r>
      <w:proofErr w:type="spellEnd"/>
      <w:r w:rsidRPr="005E28A3">
        <w:rPr>
          <w:rFonts w:ascii="Times New Roman" w:hAnsi="Times New Roman" w:cs="Times New Roman"/>
          <w:i/>
          <w:sz w:val="18"/>
        </w:rPr>
        <w:t xml:space="preserve"> miR424 on ICBs resistance in CRC.</w:t>
      </w:r>
      <w:proofErr w:type="gramEnd"/>
    </w:p>
    <w:p w:rsidR="005355A8" w:rsidRDefault="005355A8" w:rsidP="005E28A3">
      <w:pPr>
        <w:jc w:val="both"/>
        <w:rPr>
          <w:rFonts w:ascii="Times New Roman" w:hAnsi="Times New Roman" w:cs="Times New Roman"/>
          <w:sz w:val="20"/>
        </w:rPr>
      </w:pPr>
      <w:r w:rsidRPr="005355A8">
        <w:rPr>
          <w:rFonts w:ascii="Times New Roman" w:hAnsi="Times New Roman" w:cs="Times New Roman"/>
          <w:b/>
          <w:sz w:val="20"/>
        </w:rPr>
        <w:lastRenderedPageBreak/>
        <w:t>Conclusion:</w:t>
      </w:r>
      <w:r w:rsidRPr="005355A8">
        <w:rPr>
          <w:rFonts w:ascii="Times New Roman" w:hAnsi="Times New Roman" w:cs="Times New Roman"/>
          <w:sz w:val="20"/>
        </w:rPr>
        <w:t xml:space="preserve"> Collectively, our study demonstrates a pivotal role of miR424 in antitumor immune regulation and immunotherapy response. Therefore, we suggest that targeting miR424 may provide a potential therapeutic strategy to overcome ICBs resistance in MSS-CRC patients.</w:t>
      </w:r>
    </w:p>
    <w:p w:rsidR="005E28A3" w:rsidRPr="005E28A3" w:rsidRDefault="005E28A3" w:rsidP="005E28A3">
      <w:pPr>
        <w:rPr>
          <w:rFonts w:ascii="Times New Roman" w:hAnsi="Times New Roman" w:cs="Times New Roman"/>
          <w:b/>
          <w:sz w:val="24"/>
        </w:rPr>
      </w:pPr>
      <w:r w:rsidRPr="005E28A3">
        <w:rPr>
          <w:rFonts w:ascii="Times New Roman" w:hAnsi="Times New Roman" w:cs="Times New Roman"/>
          <w:b/>
          <w:sz w:val="24"/>
        </w:rPr>
        <w:t xml:space="preserve">Biography </w:t>
      </w:r>
    </w:p>
    <w:p w:rsidR="005E28A3" w:rsidRPr="005355A8" w:rsidRDefault="005E28A3" w:rsidP="005E28A3">
      <w:pPr>
        <w:jc w:val="both"/>
        <w:rPr>
          <w:rFonts w:ascii="Times New Roman" w:hAnsi="Times New Roman" w:cs="Times New Roman"/>
          <w:sz w:val="20"/>
        </w:rPr>
      </w:pPr>
      <w:proofErr w:type="spellStart"/>
      <w:r w:rsidRPr="005E28A3">
        <w:rPr>
          <w:rFonts w:ascii="Times New Roman" w:hAnsi="Times New Roman" w:cs="Times New Roman"/>
          <w:sz w:val="20"/>
        </w:rPr>
        <w:t>Hayet</w:t>
      </w:r>
      <w:proofErr w:type="spellEnd"/>
      <w:r w:rsidRPr="005E28A3">
        <w:rPr>
          <w:rFonts w:ascii="Times New Roman" w:hAnsi="Times New Roman" w:cs="Times New Roman"/>
          <w:sz w:val="20"/>
        </w:rPr>
        <w:t xml:space="preserve"> RAFA is Associate-Professor in the Department of Cell and Molecular Biology at the University of Sciences and Technology (Algiers, Algeria). She received her PhD (2013) from that university as well as Magister (2009) in Biochemistry-Immunology. Her research interests focus on two related areas: (</w:t>
      </w:r>
      <w:proofErr w:type="spellStart"/>
      <w:r w:rsidRPr="005E28A3">
        <w:rPr>
          <w:rFonts w:ascii="Times New Roman" w:hAnsi="Times New Roman" w:cs="Times New Roman"/>
          <w:sz w:val="20"/>
        </w:rPr>
        <w:t>i</w:t>
      </w:r>
      <w:proofErr w:type="spellEnd"/>
      <w:r w:rsidRPr="005E28A3">
        <w:rPr>
          <w:rFonts w:ascii="Times New Roman" w:hAnsi="Times New Roman" w:cs="Times New Roman"/>
          <w:sz w:val="20"/>
        </w:rPr>
        <w:t xml:space="preserve">) identification of cellular and Molecular mechanisms during inflammatory diseases and Cancer (ii) development of new therapeutic strategies and diagnostic approaches. She has strong expertise in cell culture system (2D and 3D culture models) and </w:t>
      </w:r>
      <w:proofErr w:type="spellStart"/>
      <w:r w:rsidRPr="005E28A3">
        <w:rPr>
          <w:rFonts w:ascii="Times New Roman" w:hAnsi="Times New Roman" w:cs="Times New Roman"/>
          <w:sz w:val="20"/>
        </w:rPr>
        <w:t>immuno</w:t>
      </w:r>
      <w:proofErr w:type="spellEnd"/>
      <w:r w:rsidRPr="005E28A3">
        <w:rPr>
          <w:rFonts w:ascii="Times New Roman" w:hAnsi="Times New Roman" w:cs="Times New Roman"/>
          <w:sz w:val="20"/>
        </w:rPr>
        <w:t>-oncology field.</w:t>
      </w:r>
    </w:p>
    <w:sectPr w:rsidR="005E28A3" w:rsidRPr="00535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5A8"/>
    <w:rsid w:val="0032354D"/>
    <w:rsid w:val="00474203"/>
    <w:rsid w:val="005355A8"/>
    <w:rsid w:val="00535872"/>
    <w:rsid w:val="005E28A3"/>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5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55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5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55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2023-02-28T05:16:00Z</dcterms:created>
  <dcterms:modified xsi:type="dcterms:W3CDTF">2023-02-28T05:31:00Z</dcterms:modified>
</cp:coreProperties>
</file>