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36DAF">
      <w:pPr>
        <w:rPr>
          <w:rFonts w:ascii="Times New Roman" w:hAnsi="Times New Roman" w:cs="Times New Roman"/>
          <w:b/>
          <w:sz w:val="32"/>
        </w:rPr>
      </w:pPr>
      <w:r w:rsidRPr="00D36DAF">
        <w:rPr>
          <w:rFonts w:ascii="Times New Roman" w:hAnsi="Times New Roman" w:cs="Times New Roman"/>
          <w:b/>
          <w:sz w:val="32"/>
        </w:rPr>
        <w:t xml:space="preserve">Establishment of a BCR-ABL p190 copy number estimator for </w:t>
      </w:r>
      <w:proofErr w:type="spellStart"/>
      <w:r w:rsidRPr="00D36DAF">
        <w:rPr>
          <w:rFonts w:ascii="Times New Roman" w:hAnsi="Times New Roman" w:cs="Times New Roman"/>
          <w:b/>
          <w:sz w:val="32"/>
        </w:rPr>
        <w:t>Xpert</w:t>
      </w:r>
      <w:proofErr w:type="spellEnd"/>
      <w:r w:rsidRPr="00D36DAF">
        <w:rPr>
          <w:rFonts w:ascii="Times New Roman" w:hAnsi="Times New Roman" w:cs="Times New Roman"/>
          <w:b/>
          <w:sz w:val="32"/>
        </w:rPr>
        <w:t>® BCR-ABL ultra p190 test</w:t>
      </w:r>
    </w:p>
    <w:p w:rsidR="00D36DAF" w:rsidRDefault="00D36DAF">
      <w:pPr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Mengying</w:t>
      </w:r>
      <w:proofErr w:type="spellEnd"/>
      <w:r>
        <w:rPr>
          <w:rFonts w:ascii="Times New Roman" w:hAnsi="Times New Roman" w:cs="Times New Roman"/>
          <w:sz w:val="24"/>
        </w:rPr>
        <w:t>(</w:t>
      </w:r>
      <w:proofErr w:type="gramEnd"/>
      <w:r>
        <w:rPr>
          <w:rFonts w:ascii="Times New Roman" w:hAnsi="Times New Roman" w:cs="Times New Roman"/>
          <w:sz w:val="24"/>
        </w:rPr>
        <w:t>Mona) Liu*</w:t>
      </w:r>
      <w:r w:rsidRPr="00D36DAF">
        <w:rPr>
          <w:rFonts w:ascii="Times New Roman" w:hAnsi="Times New Roman" w:cs="Times New Roman"/>
          <w:sz w:val="24"/>
        </w:rPr>
        <w:t>, Yan(Amber) Zhao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Yuanyuan</w:t>
      </w:r>
      <w:proofErr w:type="spellEnd"/>
      <w:r>
        <w:rPr>
          <w:rFonts w:ascii="Times New Roman" w:hAnsi="Times New Roman" w:cs="Times New Roman"/>
          <w:sz w:val="24"/>
        </w:rPr>
        <w:t xml:space="preserve"> Liu, </w:t>
      </w:r>
      <w:proofErr w:type="spellStart"/>
      <w:r>
        <w:rPr>
          <w:rFonts w:ascii="Times New Roman" w:hAnsi="Times New Roman" w:cs="Times New Roman"/>
          <w:sz w:val="24"/>
        </w:rPr>
        <w:t>Huilin</w:t>
      </w:r>
      <w:proofErr w:type="spellEnd"/>
      <w:r>
        <w:rPr>
          <w:rFonts w:ascii="Times New Roman" w:hAnsi="Times New Roman" w:cs="Times New Roman"/>
          <w:sz w:val="24"/>
        </w:rPr>
        <w:t xml:space="preserve"> Wei, Tran </w:t>
      </w:r>
      <w:proofErr w:type="spellStart"/>
      <w:r>
        <w:rPr>
          <w:rFonts w:ascii="Times New Roman" w:hAnsi="Times New Roman" w:cs="Times New Roman"/>
          <w:sz w:val="24"/>
        </w:rPr>
        <w:t>Tran</w:t>
      </w:r>
      <w:proofErr w:type="spellEnd"/>
      <w:r>
        <w:rPr>
          <w:rFonts w:ascii="Times New Roman" w:hAnsi="Times New Roman" w:cs="Times New Roman"/>
          <w:sz w:val="24"/>
        </w:rPr>
        <w:t xml:space="preserve">, Lin Yuan and </w:t>
      </w:r>
      <w:proofErr w:type="spellStart"/>
      <w:r>
        <w:rPr>
          <w:rFonts w:ascii="Times New Roman" w:hAnsi="Times New Roman" w:cs="Times New Roman"/>
          <w:sz w:val="24"/>
        </w:rPr>
        <w:t>Gwo</w:t>
      </w:r>
      <w:proofErr w:type="spellEnd"/>
      <w:r>
        <w:rPr>
          <w:rFonts w:ascii="Times New Roman" w:hAnsi="Times New Roman" w:cs="Times New Roman"/>
          <w:sz w:val="24"/>
        </w:rPr>
        <w:t>-Jen Day</w:t>
      </w:r>
    </w:p>
    <w:p w:rsidR="00D36DAF" w:rsidRPr="002A4E9E" w:rsidRDefault="00D36DAF">
      <w:pPr>
        <w:rPr>
          <w:rFonts w:ascii="Times New Roman" w:hAnsi="Times New Roman" w:cs="Times New Roman"/>
        </w:rPr>
      </w:pPr>
      <w:r w:rsidRPr="002A4E9E">
        <w:rPr>
          <w:rFonts w:ascii="Times New Roman" w:hAnsi="Times New Roman" w:cs="Times New Roman"/>
        </w:rPr>
        <w:t>Cepheid, United States</w:t>
      </w:r>
    </w:p>
    <w:p w:rsidR="00D36DAF" w:rsidRPr="002A4E9E" w:rsidRDefault="00D36DAF" w:rsidP="002A4E9E">
      <w:pPr>
        <w:jc w:val="center"/>
        <w:rPr>
          <w:rFonts w:ascii="Times New Roman" w:hAnsi="Times New Roman" w:cs="Times New Roman"/>
          <w:b/>
          <w:sz w:val="24"/>
        </w:rPr>
      </w:pPr>
      <w:r w:rsidRPr="002A4E9E">
        <w:rPr>
          <w:rFonts w:ascii="Times New Roman" w:hAnsi="Times New Roman" w:cs="Times New Roman"/>
          <w:b/>
          <w:sz w:val="24"/>
        </w:rPr>
        <w:t>Abstract</w:t>
      </w:r>
    </w:p>
    <w:p w:rsidR="002A4E9E" w:rsidRDefault="002A4E9E" w:rsidP="002A4E9E">
      <w:pPr>
        <w:jc w:val="both"/>
        <w:rPr>
          <w:rFonts w:ascii="Times New Roman" w:eastAsia="Tw Cen MT" w:hAnsi="Times New Roman" w:cs="Times New Roman"/>
          <w:sz w:val="20"/>
          <w:szCs w:val="18"/>
        </w:rPr>
      </w:pPr>
      <w:r w:rsidRPr="002A4E9E">
        <w:rPr>
          <w:rFonts w:ascii="Times New Roman" w:eastAsia="Tw Cen MT" w:hAnsi="Times New Roman" w:cs="Times New Roman"/>
          <w:b/>
          <w:sz w:val="20"/>
          <w:szCs w:val="18"/>
        </w:rPr>
        <w:t xml:space="preserve">Statement of the </w:t>
      </w:r>
      <w:r w:rsidRPr="002A4E9E">
        <w:rPr>
          <w:rFonts w:ascii="Times New Roman" w:eastAsia="Tw Cen MT" w:hAnsi="Times New Roman" w:cs="Times New Roman"/>
          <w:b/>
          <w:sz w:val="20"/>
          <w:szCs w:val="18"/>
        </w:rPr>
        <w:t>problem</w:t>
      </w:r>
      <w:r w:rsidRPr="002A4E9E">
        <w:rPr>
          <w:rFonts w:ascii="Times New Roman" w:eastAsia="Tw Cen MT" w:hAnsi="Times New Roman" w:cs="Times New Roman"/>
          <w:b/>
          <w:sz w:val="20"/>
          <w:szCs w:val="18"/>
        </w:rPr>
        <w:t xml:space="preserve">: 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BCR-ABL p190 (e1a2) is expressed in 20-30% of Acute Lymphoblastic Leukemia (ALL) and 1-2% of Chronic Myeloid Leukemia (CML). The co-expression of p190 and p210 is rare in both CML and ALL. </w:t>
      </w:r>
      <w:proofErr w:type="spellStart"/>
      <w:r w:rsidRPr="002A4E9E">
        <w:rPr>
          <w:rFonts w:ascii="Times New Roman" w:eastAsia="Tw Cen MT" w:hAnsi="Times New Roman" w:cs="Times New Roman"/>
          <w:sz w:val="20"/>
          <w:szCs w:val="18"/>
        </w:rPr>
        <w:t>Xpert</w:t>
      </w:r>
      <w:proofErr w:type="spellEnd"/>
      <w:r w:rsidRPr="002A4E9E">
        <w:rPr>
          <w:rFonts w:ascii="Times New Roman" w:eastAsia="Tw Cen MT" w:hAnsi="Times New Roman" w:cs="Times New Roman"/>
          <w:sz w:val="20"/>
          <w:szCs w:val="18"/>
          <w:vertAlign w:val="superscript"/>
        </w:rPr>
        <w:t>®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BCR-ABL Ultra p190, an automated cartridge-based test for measuring BCR-ABL p190 transcript level, is standardized to quantify the amount of BCR-ABL p190 relative to ABL1 control gene based on delta Ct in peripheral blood of patients. Since BCR-ABL p190 level is crucial for risk stratification and treatment decisions in ALL as well as diagnosis and continuous therapeutic monitoring in CML, it can be useful to obtain the 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Copy Number 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(CN) of BCR-ABL p190. The purpose of this study is to establish a BCR-ABL p190 CN estimator with known CN of e1a2-ABL IVT-RNA as well as to compare %BCR-ABL p190/ABL1 reporting between delta Ct-based and CN-based methods. </w:t>
      </w:r>
    </w:p>
    <w:p w:rsidR="002A4E9E" w:rsidRDefault="002A4E9E" w:rsidP="002A4E9E">
      <w:pPr>
        <w:jc w:val="both"/>
        <w:rPr>
          <w:rFonts w:ascii="Times New Roman" w:eastAsia="Tw Cen MT" w:hAnsi="Times New Roman" w:cs="Times New Roman"/>
          <w:sz w:val="20"/>
          <w:szCs w:val="18"/>
        </w:rPr>
      </w:pPr>
      <w:r w:rsidRPr="002A4E9E">
        <w:rPr>
          <w:rFonts w:ascii="Times New Roman" w:eastAsia="Tw Cen MT" w:hAnsi="Times New Roman" w:cs="Times New Roman"/>
          <w:b/>
          <w:sz w:val="20"/>
          <w:szCs w:val="18"/>
        </w:rPr>
        <w:t xml:space="preserve">Methodology </w:t>
      </w:r>
      <w:r w:rsidRPr="002A4E9E">
        <w:rPr>
          <w:rFonts w:ascii="Times New Roman" w:eastAsia="Tw Cen MT" w:hAnsi="Times New Roman" w:cs="Times New Roman"/>
          <w:b/>
          <w:sz w:val="20"/>
          <w:szCs w:val="18"/>
        </w:rPr>
        <w:t>and</w:t>
      </w:r>
      <w:r w:rsidRPr="002A4E9E">
        <w:rPr>
          <w:rFonts w:ascii="Times New Roman" w:eastAsia="Tw Cen MT" w:hAnsi="Times New Roman" w:cs="Times New Roman"/>
          <w:b/>
          <w:sz w:val="20"/>
          <w:szCs w:val="18"/>
        </w:rPr>
        <w:t xml:space="preserve"> </w:t>
      </w:r>
      <w:r w:rsidRPr="002A4E9E">
        <w:rPr>
          <w:rFonts w:ascii="Times New Roman" w:eastAsia="Tw Cen MT" w:hAnsi="Times New Roman" w:cs="Times New Roman"/>
          <w:b/>
          <w:sz w:val="20"/>
          <w:szCs w:val="18"/>
        </w:rPr>
        <w:t>theoretical orientation</w:t>
      </w:r>
      <w:r w:rsidRPr="002A4E9E">
        <w:rPr>
          <w:rFonts w:ascii="Times New Roman" w:eastAsia="Tw Cen MT" w:hAnsi="Times New Roman" w:cs="Times New Roman"/>
          <w:b/>
          <w:sz w:val="20"/>
          <w:szCs w:val="18"/>
        </w:rPr>
        <w:t>: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Nine levels of e1a2-ABL IVT-RNA as well as two lots of </w:t>
      </w:r>
      <w:proofErr w:type="spellStart"/>
      <w:r w:rsidRPr="002A4E9E">
        <w:rPr>
          <w:rFonts w:ascii="Times New Roman" w:eastAsia="Tw Cen MT" w:hAnsi="Times New Roman" w:cs="Times New Roman"/>
          <w:sz w:val="20"/>
          <w:szCs w:val="18"/>
        </w:rPr>
        <w:t>Xpert</w:t>
      </w:r>
      <w:proofErr w:type="spellEnd"/>
      <w:r w:rsidRPr="002A4E9E">
        <w:rPr>
          <w:rFonts w:ascii="Times New Roman" w:eastAsia="Tw Cen MT" w:hAnsi="Times New Roman" w:cs="Times New Roman"/>
          <w:sz w:val="20"/>
          <w:szCs w:val="18"/>
          <w:vertAlign w:val="superscript"/>
        </w:rPr>
        <w:t>®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BCR-ABL Ultra p190 tests were used to generate standard curves for CN and %CN reporting. BCR-ABL p190 contrived samples and ALL clinical samples containing the BCR-ABL p190 transcript were examined to evaluate the CN and %CN between two lots of the </w:t>
      </w:r>
      <w:proofErr w:type="spellStart"/>
      <w:r w:rsidRPr="002A4E9E">
        <w:rPr>
          <w:rFonts w:ascii="Times New Roman" w:eastAsia="Tw Cen MT" w:hAnsi="Times New Roman" w:cs="Times New Roman"/>
          <w:sz w:val="20"/>
          <w:szCs w:val="18"/>
        </w:rPr>
        <w:t>Xpert</w:t>
      </w:r>
      <w:proofErr w:type="spellEnd"/>
      <w:r w:rsidRPr="002A4E9E">
        <w:rPr>
          <w:rFonts w:ascii="Times New Roman" w:eastAsia="Tw Cen MT" w:hAnsi="Times New Roman" w:cs="Times New Roman"/>
          <w:sz w:val="20"/>
          <w:szCs w:val="18"/>
          <w:vertAlign w:val="superscript"/>
        </w:rPr>
        <w:t xml:space="preserve">® </w:t>
      </w:r>
      <w:r w:rsidRPr="002A4E9E">
        <w:rPr>
          <w:rFonts w:ascii="Times New Roman" w:eastAsia="Tw Cen MT" w:hAnsi="Times New Roman" w:cs="Times New Roman"/>
          <w:sz w:val="20"/>
          <w:szCs w:val="18"/>
        </w:rPr>
        <w:t>BCR-ABL Ultra p190 tests and to compare the delta Ct-based and CN-based methods for reporting %BCR-ABL p190/ABL1</w:t>
      </w:r>
      <w:r>
        <w:rPr>
          <w:rFonts w:ascii="Times New Roman" w:eastAsia="Tw Cen MT" w:hAnsi="Times New Roman" w:cs="Times New Roman"/>
          <w:sz w:val="20"/>
          <w:szCs w:val="18"/>
        </w:rPr>
        <w:t xml:space="preserve"> [Figure 1]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. </w:t>
      </w:r>
    </w:p>
    <w:p w:rsidR="002A4E9E" w:rsidRDefault="002A4E9E" w:rsidP="002A4E9E">
      <w:pPr>
        <w:jc w:val="center"/>
        <w:rPr>
          <w:rFonts w:ascii="Times New Roman" w:eastAsia="Tw Cen MT" w:hAnsi="Times New Roman" w:cs="Times New Roman"/>
          <w:sz w:val="20"/>
          <w:szCs w:val="18"/>
        </w:rPr>
      </w:pPr>
      <w:r>
        <w:rPr>
          <w:rFonts w:ascii="Times New Roman" w:eastAsia="Tw Cen MT" w:hAnsi="Times New Roman" w:cs="Times New Roman"/>
          <w:noProof/>
          <w:sz w:val="20"/>
          <w:szCs w:val="18"/>
        </w:rPr>
        <w:drawing>
          <wp:inline distT="0" distB="0" distL="0" distR="0" wp14:anchorId="10BCF7B2" wp14:editId="3C771DFD">
            <wp:extent cx="5239910" cy="1669774"/>
            <wp:effectExtent l="0" t="0" r="0" b="0"/>
            <wp:docPr id="2" name="Picture 2" descr="C:\Users\swetha-s\Downloads\SWETHA\April 2023\10-04-2023\Cancer Science 2023\Fig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wetha-s\Downloads\SWETHA\April 2023\10-04-2023\Cancer Science 2023\Fig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702" cy="1673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E9E" w:rsidRPr="002A4E9E" w:rsidRDefault="002A4E9E" w:rsidP="002A4E9E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2A4E9E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2A4E9E">
        <w:rPr>
          <w:rFonts w:ascii="Times New Roman" w:hAnsi="Times New Roman" w:cs="Times New Roman"/>
          <w:i/>
          <w:sz w:val="18"/>
        </w:rPr>
        <w:t xml:space="preserve"> Two sets of BCR-ABL Ultra p190 mutation copy number estimator for </w:t>
      </w:r>
      <w:proofErr w:type="spellStart"/>
      <w:r w:rsidRPr="002A4E9E">
        <w:rPr>
          <w:rFonts w:ascii="Times New Roman" w:hAnsi="Times New Roman" w:cs="Times New Roman"/>
          <w:i/>
          <w:sz w:val="18"/>
        </w:rPr>
        <w:t>Xpert</w:t>
      </w:r>
      <w:proofErr w:type="spellEnd"/>
      <w:r w:rsidRPr="002A4E9E">
        <w:rPr>
          <w:rFonts w:ascii="Times New Roman" w:hAnsi="Times New Roman" w:cs="Times New Roman"/>
          <w:i/>
          <w:sz w:val="18"/>
        </w:rPr>
        <w:t xml:space="preserve"> BCR-ABL Ultra p190 tests, which will provide helpful information for diagnosis and prognosis of diseases relating to BCR-ABL p190. Enter reported BCR-ABL p190 Ct and ABL1 Ct into the formulas (1) and (II) to calculate the copy number. Average copy number of BCR-ABL p190 and ABL1 from both formulas will be utilized in obtaining averaged 6BCR-ABL p190/ABL1.</w:t>
      </w:r>
    </w:p>
    <w:p w:rsidR="002A4E9E" w:rsidRDefault="002A4E9E" w:rsidP="002A4E9E">
      <w:pPr>
        <w:jc w:val="both"/>
        <w:rPr>
          <w:rFonts w:ascii="Times New Roman" w:eastAsia="Tw Cen MT" w:hAnsi="Times New Roman" w:cs="Times New Roman"/>
          <w:sz w:val="20"/>
          <w:szCs w:val="18"/>
        </w:rPr>
      </w:pPr>
      <w:r w:rsidRPr="002A4E9E">
        <w:rPr>
          <w:rFonts w:ascii="Times New Roman" w:eastAsia="Tw Cen MT" w:hAnsi="Times New Roman" w:cs="Times New Roman"/>
          <w:b/>
          <w:sz w:val="20"/>
          <w:szCs w:val="18"/>
        </w:rPr>
        <w:t>Findings: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Linearity was demonstrated in Ct </w:t>
      </w:r>
      <w:r w:rsidRPr="002A4E9E">
        <w:rPr>
          <w:rFonts w:ascii="Times New Roman" w:eastAsia="Tw Cen MT" w:hAnsi="Times New Roman" w:cs="Times New Roman"/>
          <w:i/>
          <w:sz w:val="20"/>
          <w:szCs w:val="18"/>
        </w:rPr>
        <w:t>vs.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CN input for BCR-ABL p190 (R</w:t>
      </w:r>
      <w:r w:rsidRPr="002A4E9E">
        <w:rPr>
          <w:rFonts w:ascii="Times New Roman" w:eastAsia="Tw Cen MT" w:hAnsi="Times New Roman" w:cs="Times New Roman"/>
          <w:sz w:val="20"/>
          <w:szCs w:val="18"/>
          <w:vertAlign w:val="superscript"/>
        </w:rPr>
        <w:t>2</w:t>
      </w:r>
      <w:r w:rsidRPr="002A4E9E">
        <w:rPr>
          <w:rFonts w:ascii="Times New Roman" w:eastAsia="Tw Cen MT" w:hAnsi="Times New Roman" w:cs="Times New Roman"/>
          <w:sz w:val="20"/>
          <w:szCs w:val="18"/>
        </w:rPr>
        <w:t>&gt;0.99) and ABL1 (R</w:t>
      </w:r>
      <w:r w:rsidRPr="002A4E9E">
        <w:rPr>
          <w:rFonts w:ascii="Times New Roman" w:eastAsia="Tw Cen MT" w:hAnsi="Times New Roman" w:cs="Times New Roman"/>
          <w:sz w:val="20"/>
          <w:szCs w:val="18"/>
          <w:vertAlign w:val="superscript"/>
        </w:rPr>
        <w:t>2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&gt;0.98). Less than 1.35-fold difference was exhibited for CN and %CN across two different lots. Less than 2-fold difference was observed in %BCR-ABL p190/ABL1 reporting between delta Ct-based and CN-based approaches. </w:t>
      </w:r>
    </w:p>
    <w:p w:rsidR="00D36DAF" w:rsidRDefault="002A4E9E" w:rsidP="002A4E9E">
      <w:pPr>
        <w:jc w:val="both"/>
        <w:rPr>
          <w:rFonts w:ascii="Times New Roman" w:eastAsia="Tw Cen MT" w:hAnsi="Times New Roman" w:cs="Times New Roman"/>
          <w:sz w:val="20"/>
          <w:szCs w:val="18"/>
        </w:rPr>
      </w:pPr>
      <w:r w:rsidRPr="002A4E9E">
        <w:rPr>
          <w:rFonts w:ascii="Times New Roman" w:eastAsia="Tw Cen MT" w:hAnsi="Times New Roman" w:cs="Times New Roman"/>
          <w:b/>
          <w:sz w:val="20"/>
          <w:szCs w:val="18"/>
        </w:rPr>
        <w:t>Conclusion: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A BCR-ABL p190 copy number estimator for </w:t>
      </w:r>
      <w:proofErr w:type="spellStart"/>
      <w:r w:rsidRPr="002A4E9E">
        <w:rPr>
          <w:rFonts w:ascii="Times New Roman" w:eastAsia="Tw Cen MT" w:hAnsi="Times New Roman" w:cs="Times New Roman"/>
          <w:sz w:val="20"/>
          <w:szCs w:val="18"/>
        </w:rPr>
        <w:t>Xpert</w:t>
      </w:r>
      <w:proofErr w:type="spellEnd"/>
      <w:r w:rsidRPr="002A4E9E">
        <w:rPr>
          <w:rFonts w:ascii="Times New Roman" w:eastAsia="Tw Cen MT" w:hAnsi="Times New Roman" w:cs="Times New Roman"/>
          <w:sz w:val="20"/>
          <w:szCs w:val="18"/>
          <w:vertAlign w:val="superscript"/>
        </w:rPr>
        <w:t>®</w:t>
      </w:r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BCR-ABL Ultra p190 test was established, which will provide helpful information for diagnosis and prognosis</w:t>
      </w:r>
      <w:bookmarkStart w:id="0" w:name="_GoBack"/>
      <w:bookmarkEnd w:id="0"/>
      <w:r w:rsidRPr="002A4E9E">
        <w:rPr>
          <w:rFonts w:ascii="Times New Roman" w:eastAsia="Tw Cen MT" w:hAnsi="Times New Roman" w:cs="Times New Roman"/>
          <w:sz w:val="20"/>
          <w:szCs w:val="18"/>
        </w:rPr>
        <w:t xml:space="preserve"> of diseases relating to BCR-ABL p190.</w:t>
      </w:r>
    </w:p>
    <w:p w:rsidR="002A4E9E" w:rsidRPr="002A4E9E" w:rsidRDefault="002A4E9E" w:rsidP="002A4E9E">
      <w:pPr>
        <w:rPr>
          <w:rFonts w:ascii="Times New Roman" w:hAnsi="Times New Roman" w:cs="Times New Roman"/>
          <w:b/>
          <w:sz w:val="24"/>
        </w:rPr>
      </w:pPr>
      <w:r w:rsidRPr="002A4E9E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2A4E9E" w:rsidRPr="002A4E9E" w:rsidRDefault="002A4E9E" w:rsidP="002A4E9E">
      <w:pPr>
        <w:jc w:val="both"/>
        <w:rPr>
          <w:rFonts w:ascii="Times New Roman" w:hAnsi="Times New Roman" w:cs="Times New Roman"/>
          <w:sz w:val="20"/>
        </w:rPr>
      </w:pPr>
      <w:proofErr w:type="spellStart"/>
      <w:proofErr w:type="gramStart"/>
      <w:r w:rsidRPr="002A4E9E">
        <w:rPr>
          <w:rFonts w:ascii="Times New Roman" w:hAnsi="Times New Roman" w:cs="Times New Roman"/>
          <w:sz w:val="20"/>
        </w:rPr>
        <w:t>Mengying</w:t>
      </w:r>
      <w:proofErr w:type="spellEnd"/>
      <w:r w:rsidRPr="002A4E9E">
        <w:rPr>
          <w:rFonts w:ascii="Times New Roman" w:hAnsi="Times New Roman" w:cs="Times New Roman"/>
          <w:sz w:val="20"/>
        </w:rPr>
        <w:t>(</w:t>
      </w:r>
      <w:proofErr w:type="gramEnd"/>
      <w:r w:rsidRPr="002A4E9E">
        <w:rPr>
          <w:rFonts w:ascii="Times New Roman" w:hAnsi="Times New Roman" w:cs="Times New Roman"/>
          <w:sz w:val="20"/>
        </w:rPr>
        <w:t>Mona) Liu has her expertise in molecular biology, microbiology, cell biology, gene &amp; cell therapy, drug development</w:t>
      </w:r>
      <w:r w:rsidR="00187709">
        <w:rPr>
          <w:rFonts w:ascii="Times New Roman" w:hAnsi="Times New Roman" w:cs="Times New Roman"/>
          <w:sz w:val="20"/>
        </w:rPr>
        <w:t xml:space="preserve"> and</w:t>
      </w:r>
      <w:r w:rsidRPr="002A4E9E">
        <w:rPr>
          <w:rFonts w:ascii="Times New Roman" w:hAnsi="Times New Roman" w:cs="Times New Roman"/>
          <w:sz w:val="20"/>
        </w:rPr>
        <w:t xml:space="preserve"> biomarker discovery. She has experience in process and assay development. Current research focuses on assay development to provide accurate and high quality IVT products for cancer diagnostic and monitoring.</w:t>
      </w:r>
    </w:p>
    <w:sectPr w:rsidR="002A4E9E" w:rsidRPr="002A4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DAF"/>
    <w:rsid w:val="00187709"/>
    <w:rsid w:val="002A4E9E"/>
    <w:rsid w:val="0032354D"/>
    <w:rsid w:val="00474203"/>
    <w:rsid w:val="00535872"/>
    <w:rsid w:val="007D0AF4"/>
    <w:rsid w:val="00924B33"/>
    <w:rsid w:val="00D3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4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2023-04-10T05:02:00Z</dcterms:created>
  <dcterms:modified xsi:type="dcterms:W3CDTF">2023-04-10T05:36:00Z</dcterms:modified>
</cp:coreProperties>
</file>